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97FC6" w14:textId="2B4470BB" w:rsidR="00A26B20" w:rsidRDefault="00A26B20" w:rsidP="00AF4F5E">
      <w:pPr>
        <w:rPr>
          <w:rFonts w:ascii="Calibri" w:hAnsi="Calibri" w:cs="Arial"/>
          <w:sz w:val="22"/>
          <w:szCs w:val="22"/>
        </w:rPr>
      </w:pPr>
    </w:p>
    <w:p w14:paraId="4E620B98" w14:textId="14D6F3C8" w:rsidR="00A73CA5" w:rsidRDefault="00A73CA5" w:rsidP="00A73CA5">
      <w:pPr>
        <w:jc w:val="both"/>
        <w:rPr>
          <w:rFonts w:ascii="Calibri" w:hAnsi="Calibri" w:cs="Calibri"/>
          <w:sz w:val="22"/>
          <w:szCs w:val="22"/>
        </w:rPr>
      </w:pPr>
    </w:p>
    <w:p w14:paraId="63BCFD46" w14:textId="77777777" w:rsidR="00CD59EB" w:rsidRPr="00CD59EB" w:rsidRDefault="00CD59EB" w:rsidP="00CD59EB">
      <w:pPr>
        <w:rPr>
          <w:rFonts w:ascii="Lato" w:hAnsi="Lato"/>
          <w:sz w:val="22"/>
          <w:szCs w:val="22"/>
        </w:rPr>
      </w:pPr>
      <w:bookmarkStart w:id="0" w:name="_GoBack"/>
      <w:bookmarkEnd w:id="0"/>
    </w:p>
    <w:p w14:paraId="5C265B40" w14:textId="77777777" w:rsidR="00CD59EB" w:rsidRDefault="00CD59EB" w:rsidP="00CD59EB">
      <w:pPr>
        <w:rPr>
          <w:rFonts w:ascii="Lato" w:hAnsi="Lato" w:cstheme="minorHAnsi"/>
          <w:sz w:val="22"/>
          <w:szCs w:val="22"/>
        </w:rPr>
      </w:pPr>
    </w:p>
    <w:p w14:paraId="644D44FD" w14:textId="361198F9" w:rsidR="00CD59EB" w:rsidRPr="00CD59EB" w:rsidRDefault="00CD59EB" w:rsidP="00CD59EB">
      <w:pPr>
        <w:rPr>
          <w:rFonts w:ascii="Lato" w:hAnsi="Lato" w:cstheme="minorHAnsi"/>
          <w:sz w:val="22"/>
          <w:szCs w:val="22"/>
          <w14:ligatures w14:val="standardContextual"/>
        </w:rPr>
      </w:pPr>
      <w:r w:rsidRPr="00CD59EB">
        <w:rPr>
          <w:rFonts w:ascii="Lato" w:hAnsi="Lato" w:cstheme="minorHAnsi"/>
          <w:sz w:val="22"/>
          <w:szCs w:val="22"/>
        </w:rPr>
        <w:t xml:space="preserve">The City of Tualatin submitted an exemption request to the Housing Accountability and Production Office (HAPO) on December 18, 2024 (and resubmitted on February 12, 2025), </w:t>
      </w:r>
      <w:r w:rsidRPr="00CD59EB">
        <w:rPr>
          <w:rFonts w:ascii="Lato" w:hAnsi="Lato" w:cstheme="minorHAnsi"/>
          <w:sz w:val="22"/>
          <w:szCs w:val="22"/>
          <w14:ligatures w14:val="standardContextual"/>
        </w:rPr>
        <w:t xml:space="preserve">and during review of the city’s application, the mandatory adjustment provisions of </w:t>
      </w:r>
      <w:hyperlink r:id="rId8" w:history="1">
        <w:r w:rsidRPr="00CD59EB">
          <w:rPr>
            <w:rStyle w:val="Hyperlink"/>
            <w:rFonts w:ascii="Lato" w:hAnsi="Lato" w:cstheme="minorHAnsi"/>
            <w:color w:val="00B0F0"/>
            <w:sz w:val="22"/>
            <w:szCs w:val="22"/>
            <w14:ligatures w14:val="standardContextual"/>
          </w:rPr>
          <w:t>Senate Bill 1537 (2024 Session)</w:t>
        </w:r>
      </w:hyperlink>
      <w:r w:rsidRPr="00CD59EB">
        <w:rPr>
          <w:rFonts w:ascii="Lato" w:hAnsi="Lato" w:cstheme="minorHAnsi"/>
          <w:sz w:val="22"/>
          <w:szCs w:val="22"/>
          <w14:ligatures w14:val="standardContextual"/>
        </w:rPr>
        <w:t xml:space="preserve"> do not apply until the HAPO issues a final decision, which must be issued within 120 days or by June 12, 2025. Interested parties may sign up to receive public notice for the city’s application on </w:t>
      </w:r>
      <w:hyperlink r:id="rId9" w:history="1">
        <w:r w:rsidRPr="00CD59EB">
          <w:rPr>
            <w:rStyle w:val="Hyperlink"/>
            <w:rFonts w:ascii="Lato" w:hAnsi="Lato" w:cstheme="minorHAnsi"/>
            <w:color w:val="00B0F0"/>
            <w:sz w:val="22"/>
            <w:szCs w:val="22"/>
            <w14:ligatures w14:val="standardContextual"/>
          </w:rPr>
          <w:t>DLCD’s Housing GovDelivery</w:t>
        </w:r>
      </w:hyperlink>
      <w:r w:rsidRPr="00CD59EB">
        <w:rPr>
          <w:rFonts w:ascii="Lato" w:hAnsi="Lato" w:cstheme="minorHAnsi"/>
          <w:sz w:val="22"/>
          <w:szCs w:val="22"/>
          <w14:ligatures w14:val="standardContextual"/>
        </w:rPr>
        <w:t>, including a 45-day opportunity to submit public comments during the 120-day review period.</w:t>
      </w:r>
    </w:p>
    <w:p w14:paraId="035C8098" w14:textId="77777777" w:rsidR="00CD59EB" w:rsidRPr="00CD59EB" w:rsidRDefault="00CD59EB" w:rsidP="00CD59EB">
      <w:pPr>
        <w:rPr>
          <w:rFonts w:ascii="Lato" w:hAnsi="Lato" w:cstheme="minorHAnsi"/>
          <w:sz w:val="22"/>
          <w:szCs w:val="22"/>
          <w14:ligatures w14:val="standardContextual"/>
        </w:rPr>
      </w:pPr>
    </w:p>
    <w:p w14:paraId="0EBE032A" w14:textId="6BAA855D" w:rsidR="00CD59EB" w:rsidRPr="00CD59EB" w:rsidRDefault="00CD59EB" w:rsidP="00CD59EB">
      <w:pPr>
        <w:rPr>
          <w:rFonts w:ascii="Lato" w:hAnsi="Lato" w:cstheme="minorHAnsi"/>
          <w:b/>
          <w:sz w:val="22"/>
          <w:szCs w:val="22"/>
          <w14:ligatures w14:val="standardContextual"/>
        </w:rPr>
      </w:pPr>
      <w:r w:rsidRPr="00CD59EB">
        <w:rPr>
          <w:rFonts w:ascii="Lato" w:hAnsi="Lato" w:cstheme="minorHAnsi"/>
          <w:b/>
          <w:color w:val="0070C0"/>
          <w:sz w:val="22"/>
          <w:szCs w:val="22"/>
          <w14:ligatures w14:val="standardContextual"/>
        </w:rPr>
        <w:t xml:space="preserve">The city </w:t>
      </w:r>
      <w:r w:rsidRPr="00CD59EB">
        <w:rPr>
          <w:rFonts w:ascii="Lato" w:hAnsi="Lato" w:cstheme="minorHAnsi"/>
          <w:b/>
          <w:color w:val="0070C0"/>
          <w:sz w:val="22"/>
          <w:szCs w:val="22"/>
          <w14:ligatures w14:val="standardContextual"/>
        </w:rPr>
        <w:t>will apply a local process to review adjustment requests in lieu of the mandatory adjustment provision of SB 1537:</w:t>
      </w:r>
      <w:r w:rsidRPr="00CD59EB">
        <w:rPr>
          <w:rFonts w:ascii="Lato" w:hAnsi="Lato" w:cstheme="minorHAnsi"/>
          <w:b/>
          <w:sz w:val="22"/>
          <w:szCs w:val="22"/>
          <w14:ligatures w14:val="standardContextual"/>
        </w:rPr>
        <w:t xml:space="preserve"> </w:t>
      </w:r>
    </w:p>
    <w:p w14:paraId="2A8C21B9" w14:textId="77777777" w:rsidR="00CD59EB" w:rsidRPr="00CD59EB" w:rsidRDefault="00CD59EB" w:rsidP="00CD59EB">
      <w:pPr>
        <w:rPr>
          <w:rFonts w:ascii="Lato" w:hAnsi="Lato" w:cstheme="minorHAnsi"/>
          <w:sz w:val="22"/>
          <w:szCs w:val="22"/>
          <w14:ligatures w14:val="standardContextual"/>
        </w:rPr>
      </w:pPr>
    </w:p>
    <w:p w14:paraId="5CF68A46" w14:textId="77777777" w:rsidR="00CD59EB" w:rsidRPr="00CD59EB" w:rsidRDefault="00CD59EB" w:rsidP="00CD59EB">
      <w:pPr>
        <w:rPr>
          <w:rFonts w:ascii="Lato" w:hAnsi="Lato" w:cstheme="minorHAnsi"/>
          <w:color w:val="000000" w:themeColor="text1"/>
          <w:sz w:val="22"/>
          <w:szCs w:val="22"/>
        </w:rPr>
      </w:pPr>
      <w:r w:rsidRPr="00CD59EB">
        <w:rPr>
          <w:rFonts w:ascii="Lato" w:hAnsi="Lato" w:cstheme="minorHAnsi"/>
          <w:color w:val="000000" w:themeColor="text1"/>
          <w:sz w:val="22"/>
          <w:szCs w:val="22"/>
        </w:rPr>
        <w:t xml:space="preserve">The City of Tualatin utilizes Variances and Minor Variances to review requests to adjust development and design standards for housing applications. </w:t>
      </w:r>
    </w:p>
    <w:p w14:paraId="792397FC" w14:textId="77777777" w:rsidR="00CD59EB" w:rsidRPr="00CD59EB" w:rsidRDefault="00CD59EB" w:rsidP="00CD59EB">
      <w:pPr>
        <w:rPr>
          <w:rFonts w:ascii="Lato" w:hAnsi="Lato" w:cstheme="minorHAnsi"/>
          <w:color w:val="000000" w:themeColor="text1"/>
          <w:sz w:val="22"/>
          <w:szCs w:val="22"/>
        </w:rPr>
      </w:pPr>
    </w:p>
    <w:p w14:paraId="658AA8B6" w14:textId="77777777" w:rsidR="00CD59EB" w:rsidRPr="00CD59EB" w:rsidRDefault="00CD59EB" w:rsidP="00CD59EB">
      <w:pPr>
        <w:rPr>
          <w:rFonts w:ascii="Lato" w:hAnsi="Lato" w:cstheme="minorHAnsi"/>
          <w:color w:val="000000" w:themeColor="text1"/>
          <w:sz w:val="22"/>
          <w:szCs w:val="22"/>
        </w:rPr>
      </w:pPr>
      <w:r w:rsidRPr="00CD59EB">
        <w:rPr>
          <w:rFonts w:ascii="Lato" w:hAnsi="Lato" w:cstheme="minorHAnsi"/>
          <w:color w:val="000000" w:themeColor="text1"/>
          <w:sz w:val="22"/>
          <w:szCs w:val="22"/>
        </w:rPr>
        <w:t xml:space="preserve">Variances to the requirements of the Tualatin Development Code (TDC) can be requested where, owing to special and unusual circumstances related to a specific piece of property, the literal interpretation of the TDC would cause an undue or unnecessary hardship. Variances are not allowed to permit a use of land that is not permitted or conditionally permitted in a zone. Variances may be requested to the standards in Tualatin Development Code Chapters 40-69 and 71-73A through 73F. Variances may be requested to adjust development and design standards for all other housing types and residential planning districts, or increased adjustment requests not described in the Minor Variance process. </w:t>
      </w:r>
    </w:p>
    <w:p w14:paraId="13774C39" w14:textId="77777777" w:rsidR="00CD59EB" w:rsidRPr="00CD59EB" w:rsidRDefault="00CD59EB" w:rsidP="00CD59EB">
      <w:pPr>
        <w:rPr>
          <w:rFonts w:ascii="Lato" w:hAnsi="Lato" w:cstheme="minorHAnsi"/>
          <w:color w:val="000000" w:themeColor="text1"/>
          <w:sz w:val="22"/>
          <w:szCs w:val="22"/>
        </w:rPr>
      </w:pPr>
    </w:p>
    <w:p w14:paraId="62B3F515" w14:textId="77777777" w:rsidR="00CD59EB" w:rsidRPr="00CD59EB" w:rsidRDefault="00CD59EB" w:rsidP="00CD59EB">
      <w:pPr>
        <w:rPr>
          <w:rFonts w:ascii="Lato" w:hAnsi="Lato" w:cstheme="minorHAnsi"/>
          <w:color w:val="000000" w:themeColor="text1"/>
          <w:sz w:val="22"/>
          <w:szCs w:val="22"/>
        </w:rPr>
      </w:pPr>
      <w:r w:rsidRPr="00CD59EB">
        <w:rPr>
          <w:rFonts w:ascii="Lato" w:hAnsi="Lato" w:cstheme="minorHAnsi"/>
          <w:color w:val="000000" w:themeColor="text1"/>
          <w:sz w:val="22"/>
          <w:szCs w:val="22"/>
        </w:rPr>
        <w:t xml:space="preserve">The Variance application is reviewed under Type III land use procedures outlined in </w:t>
      </w:r>
      <w:hyperlink r:id="rId10" w:history="1">
        <w:r w:rsidRPr="00CD59EB">
          <w:rPr>
            <w:rStyle w:val="Hyperlink"/>
            <w:rFonts w:ascii="Lato" w:hAnsi="Lato" w:cstheme="minorHAnsi"/>
            <w:color w:val="00B0F0"/>
            <w:sz w:val="22"/>
            <w:szCs w:val="22"/>
          </w:rPr>
          <w:t>TDC 32.230</w:t>
        </w:r>
      </w:hyperlink>
      <w:r w:rsidRPr="00CD59EB">
        <w:rPr>
          <w:rFonts w:ascii="Lato" w:hAnsi="Lato" w:cstheme="minorHAnsi"/>
          <w:color w:val="000000" w:themeColor="text1"/>
          <w:sz w:val="22"/>
          <w:szCs w:val="22"/>
        </w:rPr>
        <w:t>. This land use procedure requires a discretionary decision by the Tualatin Planning Commission. Type III decisions require public notice and are decided at a public hearing, with an opportunity for appeal to the City Council.</w:t>
      </w:r>
    </w:p>
    <w:p w14:paraId="2CCE0052" w14:textId="77777777" w:rsidR="00CD59EB" w:rsidRPr="00CD59EB" w:rsidRDefault="00CD59EB" w:rsidP="00CD59EB">
      <w:pPr>
        <w:rPr>
          <w:rFonts w:ascii="Lato" w:hAnsi="Lato" w:cstheme="minorHAnsi"/>
          <w:color w:val="000000" w:themeColor="text1"/>
          <w:sz w:val="22"/>
          <w:szCs w:val="22"/>
        </w:rPr>
      </w:pPr>
    </w:p>
    <w:p w14:paraId="75EF0D85" w14:textId="77777777" w:rsidR="00CD59EB" w:rsidRPr="00CD59EB" w:rsidRDefault="00CD59EB" w:rsidP="00CD59EB">
      <w:pPr>
        <w:pStyle w:val="List1"/>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 xml:space="preserve">The approval criteria for Variances are located in </w:t>
      </w:r>
      <w:hyperlink r:id="rId11" w:history="1">
        <w:r w:rsidRPr="00CD59EB">
          <w:rPr>
            <w:rStyle w:val="Hyperlink"/>
            <w:rFonts w:ascii="Lato" w:hAnsi="Lato" w:cstheme="minorHAnsi"/>
            <w:color w:val="00B0F0"/>
            <w:sz w:val="22"/>
            <w:szCs w:val="22"/>
          </w:rPr>
          <w:t>TDC 33.120(6)</w:t>
        </w:r>
      </w:hyperlink>
      <w:r w:rsidRPr="00CD59EB">
        <w:rPr>
          <w:rFonts w:ascii="Lato" w:hAnsi="Lato" w:cstheme="minorHAnsi"/>
          <w:color w:val="000000" w:themeColor="text1"/>
          <w:sz w:val="22"/>
          <w:szCs w:val="22"/>
        </w:rPr>
        <w:t xml:space="preserve"> and state that a variance must not be granted unless it can be shown that criterion (a) is met and three of the four approval criteria (b)-(e) are met for non-sign requests: </w:t>
      </w:r>
    </w:p>
    <w:p w14:paraId="6EE6AF4F" w14:textId="77777777" w:rsidR="00CD59EB" w:rsidRPr="00CD59EB" w:rsidRDefault="00CD59EB" w:rsidP="00CD59EB">
      <w:pPr>
        <w:pStyle w:val="List1"/>
        <w:spacing w:before="0" w:after="0"/>
        <w:rPr>
          <w:rFonts w:ascii="Lato" w:hAnsi="Lato" w:cstheme="minorHAnsi"/>
          <w:color w:val="000000" w:themeColor="text1"/>
          <w:sz w:val="22"/>
          <w:szCs w:val="22"/>
        </w:rPr>
      </w:pPr>
    </w:p>
    <w:p w14:paraId="22E05D9E"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(a)</w:t>
      </w:r>
      <w:r w:rsidRPr="00CD59EB">
        <w:rPr>
          <w:rFonts w:ascii="Lato" w:hAnsi="Lato" w:cstheme="minorHAnsi"/>
          <w:color w:val="000000" w:themeColor="text1"/>
          <w:sz w:val="22"/>
          <w:szCs w:val="22"/>
        </w:rPr>
        <w:tab/>
        <w:t xml:space="preserve">A hardship is created by exceptional or extraordinary conditions applying to the property that do not apply generally to other properties in the same zone or vicinity and the conditions are a result of lot size or shape, topography, or other physical circumstances applying to the property over which the applicant or owner has no control. </w:t>
      </w:r>
    </w:p>
    <w:p w14:paraId="147429E1"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(b)</w:t>
      </w:r>
      <w:r w:rsidRPr="00CD59EB">
        <w:rPr>
          <w:rFonts w:ascii="Lato" w:hAnsi="Lato" w:cstheme="minorHAnsi"/>
          <w:color w:val="000000" w:themeColor="text1"/>
          <w:sz w:val="22"/>
          <w:szCs w:val="22"/>
        </w:rPr>
        <w:tab/>
        <w:t xml:space="preserve">The hardship does not result from actions of the applicant, owner or previous owner, or from personal circumstances or financial situation of the applicant or owner, or from regional economic conditions. </w:t>
      </w:r>
    </w:p>
    <w:p w14:paraId="4777480C"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(c)</w:t>
      </w:r>
      <w:r w:rsidRPr="00CD59EB">
        <w:rPr>
          <w:rFonts w:ascii="Lato" w:hAnsi="Lato" w:cstheme="minorHAnsi"/>
          <w:color w:val="000000" w:themeColor="text1"/>
          <w:sz w:val="22"/>
          <w:szCs w:val="22"/>
        </w:rPr>
        <w:tab/>
        <w:t xml:space="preserve">The variance is necessary for the preservation of a property right of the applicant or owner substantially the same as is possessed by owners of other property in the same zone or vicinity. </w:t>
      </w:r>
    </w:p>
    <w:p w14:paraId="4613CDC0"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lastRenderedPageBreak/>
        <w:t>(d)</w:t>
      </w:r>
      <w:r w:rsidRPr="00CD59EB">
        <w:rPr>
          <w:rFonts w:ascii="Lato" w:hAnsi="Lato" w:cstheme="minorHAnsi"/>
          <w:color w:val="000000" w:themeColor="text1"/>
          <w:sz w:val="22"/>
          <w:szCs w:val="22"/>
        </w:rPr>
        <w:tab/>
        <w:t xml:space="preserve">The variance must not be detrimental to the applicable goals and policies of the Tualatin Comprehensive Plan and must not be injurious to property in the zone or vicinity in which the property is located. </w:t>
      </w:r>
    </w:p>
    <w:p w14:paraId="00C90CFB"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(e)</w:t>
      </w:r>
      <w:r w:rsidRPr="00CD59EB">
        <w:rPr>
          <w:rFonts w:ascii="Lato" w:hAnsi="Lato" w:cstheme="minorHAnsi"/>
          <w:color w:val="000000" w:themeColor="text1"/>
          <w:sz w:val="22"/>
          <w:szCs w:val="22"/>
        </w:rPr>
        <w:tab/>
        <w:t xml:space="preserve">The variance is the minimum remedy necessary to alleviate the hardship. </w:t>
      </w:r>
    </w:p>
    <w:p w14:paraId="3C039E93" w14:textId="77777777" w:rsidR="00CD59EB" w:rsidRPr="00CD59EB" w:rsidRDefault="00CD59EB" w:rsidP="00CD59EB">
      <w:pPr>
        <w:pStyle w:val="List2"/>
        <w:spacing w:before="0" w:after="0"/>
        <w:ind w:left="0" w:firstLine="0"/>
        <w:rPr>
          <w:rFonts w:ascii="Lato" w:hAnsi="Lato" w:cstheme="minorHAnsi"/>
          <w:color w:val="000000" w:themeColor="text1"/>
          <w:sz w:val="22"/>
          <w:szCs w:val="22"/>
        </w:rPr>
      </w:pPr>
    </w:p>
    <w:p w14:paraId="71E73961" w14:textId="77777777" w:rsidR="00CD59EB" w:rsidRPr="00CD59EB" w:rsidRDefault="00CD59EB" w:rsidP="00CD59EB">
      <w:pPr>
        <w:pStyle w:val="incr2"/>
        <w:shd w:val="clear" w:color="auto" w:fill="FFFFFF"/>
        <w:spacing w:before="0" w:beforeAutospacing="0" w:after="0" w:afterAutospacing="0"/>
        <w:rPr>
          <w:rFonts w:ascii="Lato" w:hAnsi="Lato" w:cstheme="minorHAnsi"/>
          <w:color w:val="000000" w:themeColor="text1"/>
          <w:spacing w:val="2"/>
          <w:sz w:val="22"/>
          <w:szCs w:val="22"/>
        </w:rPr>
      </w:pPr>
      <w:r w:rsidRPr="00CD59EB">
        <w:rPr>
          <w:rFonts w:ascii="Lato" w:hAnsi="Lato" w:cstheme="minorHAnsi"/>
          <w:color w:val="000000" w:themeColor="text1"/>
          <w:sz w:val="22"/>
          <w:szCs w:val="22"/>
        </w:rPr>
        <w:t xml:space="preserve">Minor Variances may be requested in </w:t>
      </w:r>
      <w:r w:rsidRPr="00CD59EB">
        <w:rPr>
          <w:rFonts w:ascii="Lato" w:hAnsi="Lato" w:cstheme="minorHAnsi"/>
          <w:color w:val="000000" w:themeColor="text1"/>
          <w:spacing w:val="2"/>
          <w:sz w:val="22"/>
          <w:szCs w:val="22"/>
        </w:rPr>
        <w:t xml:space="preserve">Residential Low Density Zone (RL) and Residential Medium to Low Density Zone (RML) for detached single family dwellings, accessory structures, duplexes, townhomes, triplexes, </w:t>
      </w:r>
      <w:proofErr w:type="spellStart"/>
      <w:r w:rsidRPr="00CD59EB">
        <w:rPr>
          <w:rFonts w:ascii="Lato" w:hAnsi="Lato" w:cstheme="minorHAnsi"/>
          <w:color w:val="000000" w:themeColor="text1"/>
          <w:spacing w:val="2"/>
          <w:sz w:val="22"/>
          <w:szCs w:val="22"/>
        </w:rPr>
        <w:t>quadplexes</w:t>
      </w:r>
      <w:proofErr w:type="spellEnd"/>
      <w:r w:rsidRPr="00CD59EB">
        <w:rPr>
          <w:rFonts w:ascii="Lato" w:hAnsi="Lato" w:cstheme="minorHAnsi"/>
          <w:color w:val="000000" w:themeColor="text1"/>
          <w:spacing w:val="2"/>
          <w:sz w:val="22"/>
          <w:szCs w:val="22"/>
        </w:rPr>
        <w:t xml:space="preserve">, cottage clusters, or accessory dwelling units:  </w:t>
      </w:r>
    </w:p>
    <w:p w14:paraId="4E912A96" w14:textId="77777777" w:rsidR="00CD59EB" w:rsidRPr="00CD59EB" w:rsidRDefault="00CD59EB" w:rsidP="00CD59EB">
      <w:pPr>
        <w:pStyle w:val="incr2"/>
        <w:shd w:val="clear" w:color="auto" w:fill="FFFFFF"/>
        <w:spacing w:before="0" w:beforeAutospacing="0" w:after="0" w:afterAutospacing="0"/>
        <w:rPr>
          <w:rFonts w:ascii="Lato" w:hAnsi="Lato" w:cstheme="minorHAnsi"/>
          <w:color w:val="000000" w:themeColor="text1"/>
          <w:spacing w:val="2"/>
          <w:sz w:val="22"/>
          <w:szCs w:val="22"/>
        </w:rPr>
      </w:pPr>
    </w:p>
    <w:p w14:paraId="321B8925" w14:textId="77777777" w:rsidR="00CD59EB" w:rsidRPr="00CD59EB" w:rsidRDefault="00CD59EB" w:rsidP="00CD59EB">
      <w:pPr>
        <w:pStyle w:val="incr2"/>
        <w:numPr>
          <w:ilvl w:val="0"/>
          <w:numId w:val="6"/>
        </w:numPr>
        <w:shd w:val="clear" w:color="auto" w:fill="FFFFFF"/>
        <w:spacing w:before="0" w:beforeAutospacing="0" w:after="0" w:afterAutospacing="0"/>
        <w:rPr>
          <w:rFonts w:ascii="Lato" w:hAnsi="Lato" w:cstheme="minorHAnsi"/>
          <w:color w:val="000000" w:themeColor="text1"/>
          <w:spacing w:val="2"/>
          <w:sz w:val="22"/>
          <w:szCs w:val="22"/>
        </w:rPr>
      </w:pPr>
      <w:r w:rsidRPr="00CD59EB">
        <w:rPr>
          <w:rFonts w:ascii="Lato" w:hAnsi="Lato" w:cstheme="minorHAnsi"/>
          <w:color w:val="000000" w:themeColor="text1"/>
          <w:spacing w:val="2"/>
          <w:sz w:val="22"/>
          <w:szCs w:val="22"/>
        </w:rPr>
        <w:t xml:space="preserve">Up to a ten percent variation from the required lot area, and/or  </w:t>
      </w:r>
    </w:p>
    <w:p w14:paraId="6569234F" w14:textId="77777777" w:rsidR="00CD59EB" w:rsidRPr="00CD59EB" w:rsidRDefault="00CD59EB" w:rsidP="00CD59EB">
      <w:pPr>
        <w:pStyle w:val="incr2"/>
        <w:numPr>
          <w:ilvl w:val="0"/>
          <w:numId w:val="6"/>
        </w:numPr>
        <w:shd w:val="clear" w:color="auto" w:fill="FFFFFF"/>
        <w:spacing w:before="0" w:beforeAutospacing="0" w:after="0" w:afterAutospacing="0"/>
        <w:rPr>
          <w:rFonts w:ascii="Lato" w:hAnsi="Lato" w:cstheme="minorHAnsi"/>
          <w:color w:val="000000" w:themeColor="text1"/>
          <w:spacing w:val="2"/>
          <w:sz w:val="22"/>
          <w:szCs w:val="22"/>
        </w:rPr>
      </w:pPr>
      <w:r w:rsidRPr="00CD59EB">
        <w:rPr>
          <w:rFonts w:ascii="Lato" w:hAnsi="Lato" w:cstheme="minorHAnsi"/>
          <w:color w:val="000000" w:themeColor="text1"/>
          <w:spacing w:val="2"/>
          <w:sz w:val="22"/>
          <w:szCs w:val="22"/>
        </w:rPr>
        <w:t>Up to a 20 percent variation from the required lot width, building coverage, setbacks, projections into required yards and structure height development standards for permitted uses.</w:t>
      </w:r>
    </w:p>
    <w:p w14:paraId="0D7C89DC" w14:textId="77777777" w:rsidR="00CD59EB" w:rsidRPr="00CD59EB" w:rsidRDefault="00CD59EB" w:rsidP="00CD59EB">
      <w:pPr>
        <w:pStyle w:val="List2"/>
        <w:spacing w:before="0" w:after="0"/>
        <w:ind w:left="0" w:firstLine="0"/>
        <w:rPr>
          <w:rFonts w:ascii="Lato" w:hAnsi="Lato" w:cstheme="minorHAnsi"/>
          <w:color w:val="000000" w:themeColor="text1"/>
          <w:sz w:val="22"/>
          <w:szCs w:val="22"/>
        </w:rPr>
      </w:pPr>
    </w:p>
    <w:p w14:paraId="7DC16F92" w14:textId="77777777" w:rsidR="00CD59EB" w:rsidRPr="00CD59EB" w:rsidRDefault="00CD59EB" w:rsidP="00CD59EB">
      <w:pPr>
        <w:pStyle w:val="List2"/>
        <w:spacing w:before="0" w:after="0"/>
        <w:ind w:left="0" w:firstLine="0"/>
        <w:rPr>
          <w:rFonts w:ascii="Lato" w:hAnsi="Lato" w:cstheme="minorHAnsi"/>
          <w:color w:val="000000" w:themeColor="text1"/>
          <w:sz w:val="22"/>
          <w:szCs w:val="22"/>
        </w:rPr>
      </w:pPr>
      <w:r w:rsidRPr="00CD59EB">
        <w:rPr>
          <w:rFonts w:ascii="Lato" w:hAnsi="Lato" w:cstheme="minorHAnsi"/>
          <w:color w:val="000000" w:themeColor="text1"/>
          <w:sz w:val="22"/>
          <w:szCs w:val="22"/>
        </w:rPr>
        <w:t xml:space="preserve">The Minor Variance application is reviewed under Type II land use procedures outline in </w:t>
      </w:r>
      <w:hyperlink r:id="rId12" w:history="1">
        <w:r w:rsidRPr="00CD59EB">
          <w:rPr>
            <w:rStyle w:val="Hyperlink"/>
            <w:rFonts w:ascii="Lato" w:hAnsi="Lato" w:cstheme="minorHAnsi"/>
            <w:color w:val="00B0F0"/>
            <w:sz w:val="22"/>
            <w:szCs w:val="22"/>
          </w:rPr>
          <w:t>TDC 32.220</w:t>
        </w:r>
      </w:hyperlink>
      <w:r w:rsidRPr="00CD59EB">
        <w:rPr>
          <w:rFonts w:ascii="Lato" w:hAnsi="Lato" w:cstheme="minorHAnsi"/>
          <w:color w:val="000000" w:themeColor="text1"/>
          <w:sz w:val="22"/>
          <w:szCs w:val="22"/>
        </w:rPr>
        <w:t xml:space="preserve">. This land use procedure is a staff-level decision and require public notice, with an opportunity for appeal to City Council. Minor Variances only apply to residences in the Residential Low Density Zone (RL) and Residential Medium to Low Density Zone (RML) with small adjustments to standards as described in </w:t>
      </w:r>
      <w:hyperlink r:id="rId13" w:history="1">
        <w:r w:rsidRPr="00CD59EB">
          <w:rPr>
            <w:rStyle w:val="Hyperlink"/>
            <w:rFonts w:ascii="Lato" w:hAnsi="Lato" w:cstheme="minorHAnsi"/>
            <w:color w:val="00B0F0"/>
            <w:sz w:val="22"/>
            <w:szCs w:val="22"/>
          </w:rPr>
          <w:t>TDC 33.120(2</w:t>
        </w:r>
        <w:proofErr w:type="gramStart"/>
        <w:r w:rsidRPr="00CD59EB">
          <w:rPr>
            <w:rStyle w:val="Hyperlink"/>
            <w:rFonts w:ascii="Lato" w:hAnsi="Lato" w:cstheme="minorHAnsi"/>
            <w:color w:val="00B0F0"/>
            <w:sz w:val="22"/>
            <w:szCs w:val="22"/>
          </w:rPr>
          <w:t>)(</w:t>
        </w:r>
        <w:proofErr w:type="gramEnd"/>
        <w:r w:rsidRPr="00CD59EB">
          <w:rPr>
            <w:rStyle w:val="Hyperlink"/>
            <w:rFonts w:ascii="Lato" w:hAnsi="Lato" w:cstheme="minorHAnsi"/>
            <w:color w:val="00B0F0"/>
            <w:sz w:val="22"/>
            <w:szCs w:val="22"/>
          </w:rPr>
          <w:t>b)</w:t>
        </w:r>
      </w:hyperlink>
      <w:r w:rsidRPr="00CD59EB">
        <w:rPr>
          <w:rFonts w:ascii="Lato" w:hAnsi="Lato" w:cstheme="minorHAnsi"/>
          <w:color w:val="000000" w:themeColor="text1"/>
          <w:sz w:val="22"/>
          <w:szCs w:val="22"/>
        </w:rPr>
        <w:t>. Variances may be requested to adjust development and design standards for all other housing types and residential planning districts not outlined in the Minor Variance process.</w:t>
      </w:r>
    </w:p>
    <w:p w14:paraId="00E22C27" w14:textId="77777777" w:rsidR="00CD59EB" w:rsidRPr="00CD59EB" w:rsidRDefault="00CD59EB" w:rsidP="00CD59EB">
      <w:pPr>
        <w:pStyle w:val="List2"/>
        <w:spacing w:before="0" w:after="0"/>
        <w:ind w:left="0" w:firstLine="0"/>
        <w:rPr>
          <w:rFonts w:ascii="Lato" w:hAnsi="Lato" w:cstheme="minorHAnsi"/>
          <w:color w:val="000000" w:themeColor="text1"/>
          <w:sz w:val="22"/>
          <w:szCs w:val="22"/>
        </w:rPr>
      </w:pPr>
    </w:p>
    <w:p w14:paraId="7FC48E3C" w14:textId="77777777" w:rsidR="00CD59EB" w:rsidRPr="00CD59EB" w:rsidRDefault="00CD59EB" w:rsidP="00CD59EB">
      <w:pPr>
        <w:pStyle w:val="List1"/>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 xml:space="preserve">The approval criteria for Minor Variances are located in </w:t>
      </w:r>
      <w:hyperlink r:id="rId14" w:history="1">
        <w:r w:rsidRPr="00CD59EB">
          <w:rPr>
            <w:rStyle w:val="Hyperlink"/>
            <w:rFonts w:ascii="Lato" w:hAnsi="Lato" w:cstheme="minorHAnsi"/>
            <w:color w:val="00B0F0"/>
            <w:sz w:val="22"/>
            <w:szCs w:val="22"/>
          </w:rPr>
          <w:t>TDC 33.120(5)</w:t>
        </w:r>
      </w:hyperlink>
      <w:r w:rsidRPr="00CD59EB">
        <w:rPr>
          <w:rFonts w:ascii="Lato" w:hAnsi="Lato" w:cstheme="minorHAnsi"/>
          <w:color w:val="000000" w:themeColor="text1"/>
          <w:sz w:val="22"/>
          <w:szCs w:val="22"/>
        </w:rPr>
        <w:t xml:space="preserve"> and state that a minor variance must not be granted unless the application shows the following approval criteria are met: </w:t>
      </w:r>
    </w:p>
    <w:p w14:paraId="32918B3C" w14:textId="77777777" w:rsidR="00CD59EB" w:rsidRPr="00CD59EB" w:rsidRDefault="00CD59EB" w:rsidP="00CD59EB">
      <w:pPr>
        <w:pStyle w:val="List1"/>
        <w:spacing w:before="0" w:after="0"/>
        <w:rPr>
          <w:rFonts w:ascii="Lato" w:hAnsi="Lato" w:cstheme="minorHAnsi"/>
          <w:color w:val="000000" w:themeColor="text1"/>
          <w:sz w:val="22"/>
          <w:szCs w:val="22"/>
        </w:rPr>
      </w:pPr>
    </w:p>
    <w:p w14:paraId="14975058"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(a)</w:t>
      </w:r>
      <w:r w:rsidRPr="00CD59EB">
        <w:rPr>
          <w:rFonts w:ascii="Lato" w:hAnsi="Lato" w:cstheme="minorHAnsi"/>
          <w:color w:val="000000" w:themeColor="text1"/>
          <w:sz w:val="22"/>
          <w:szCs w:val="22"/>
        </w:rPr>
        <w:tab/>
        <w:t xml:space="preserve">A hardship is created by an unusual situation that is the result of lot size, lot shape, topography, development circumstances or being able to use the land or public infrastructure more efficiently; </w:t>
      </w:r>
    </w:p>
    <w:p w14:paraId="0BF207C1"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(b)</w:t>
      </w:r>
      <w:r w:rsidRPr="00CD59EB">
        <w:rPr>
          <w:rFonts w:ascii="Lato" w:hAnsi="Lato" w:cstheme="minorHAnsi"/>
          <w:color w:val="000000" w:themeColor="text1"/>
          <w:sz w:val="22"/>
          <w:szCs w:val="22"/>
        </w:rPr>
        <w:tab/>
        <w:t xml:space="preserve">The hardship does not result from regional economic conditions; </w:t>
      </w:r>
    </w:p>
    <w:p w14:paraId="5F202B09"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(c)</w:t>
      </w:r>
      <w:r w:rsidRPr="00CD59EB">
        <w:rPr>
          <w:rFonts w:ascii="Lato" w:hAnsi="Lato" w:cstheme="minorHAnsi"/>
          <w:color w:val="000000" w:themeColor="text1"/>
          <w:sz w:val="22"/>
          <w:szCs w:val="22"/>
        </w:rPr>
        <w:tab/>
        <w:t xml:space="preserve">The minor variance will not be injurious to property abutting the subject property; and </w:t>
      </w:r>
    </w:p>
    <w:p w14:paraId="701FF3C0" w14:textId="77777777" w:rsidR="00CD59EB" w:rsidRPr="00CD59EB" w:rsidRDefault="00CD59EB" w:rsidP="00CD59EB">
      <w:pPr>
        <w:pStyle w:val="List2"/>
        <w:spacing w:before="0" w:after="0"/>
        <w:rPr>
          <w:rFonts w:ascii="Lato" w:hAnsi="Lato" w:cstheme="minorHAnsi"/>
          <w:color w:val="000000" w:themeColor="text1"/>
          <w:sz w:val="22"/>
          <w:szCs w:val="22"/>
        </w:rPr>
      </w:pPr>
      <w:r w:rsidRPr="00CD59EB">
        <w:rPr>
          <w:rFonts w:ascii="Lato" w:hAnsi="Lato" w:cstheme="minorHAnsi"/>
          <w:color w:val="000000" w:themeColor="text1"/>
          <w:sz w:val="22"/>
          <w:szCs w:val="22"/>
        </w:rPr>
        <w:t>(d)</w:t>
      </w:r>
      <w:r w:rsidRPr="00CD59EB">
        <w:rPr>
          <w:rFonts w:ascii="Lato" w:hAnsi="Lato" w:cstheme="minorHAnsi"/>
          <w:color w:val="000000" w:themeColor="text1"/>
          <w:sz w:val="22"/>
          <w:szCs w:val="22"/>
        </w:rPr>
        <w:tab/>
        <w:t xml:space="preserve">The minor variance is the minimum remedy necessary to alleviate the hardship. </w:t>
      </w:r>
    </w:p>
    <w:p w14:paraId="60E59CCB" w14:textId="77777777" w:rsidR="00CD59EB" w:rsidRPr="000044F9" w:rsidRDefault="00CD59EB" w:rsidP="00A73CA5">
      <w:pPr>
        <w:jc w:val="both"/>
        <w:rPr>
          <w:rFonts w:ascii="Calibri" w:hAnsi="Calibri" w:cs="Calibri"/>
          <w:sz w:val="22"/>
          <w:szCs w:val="22"/>
        </w:rPr>
      </w:pPr>
    </w:p>
    <w:sectPr w:rsidR="00CD59EB" w:rsidRPr="000044F9" w:rsidSect="00A65624">
      <w:headerReference w:type="default" r:id="rId15"/>
      <w:headerReference w:type="first" r:id="rId16"/>
      <w:footerReference w:type="first" r:id="rId17"/>
      <w:pgSz w:w="12240" w:h="15840"/>
      <w:pgMar w:top="1008" w:right="1440" w:bottom="245" w:left="1440" w:header="446"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FD76" w14:textId="77777777" w:rsidR="002F4B50" w:rsidRDefault="002F4B50">
      <w:r>
        <w:separator/>
      </w:r>
    </w:p>
  </w:endnote>
  <w:endnote w:type="continuationSeparator" w:id="0">
    <w:p w14:paraId="779CB4E9" w14:textId="77777777" w:rsidR="002F4B50" w:rsidRDefault="002F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PostAntiqua">
    <w:altName w:val="Courier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49DE2" w14:textId="087F0F11" w:rsidR="00A5756B" w:rsidRDefault="00A5756B">
    <w:pPr>
      <w:pStyle w:val="Footer"/>
    </w:pPr>
    <w:r>
      <w:rPr>
        <w:noProof/>
      </w:rPr>
      <w:drawing>
        <wp:inline distT="0" distB="0" distL="0" distR="0" wp14:anchorId="09064988" wp14:editId="591151E1">
          <wp:extent cx="5943600" cy="2254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ver-letterhea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25425"/>
                  </a:xfrm>
                  <a:prstGeom prst="rect">
                    <a:avLst/>
                  </a:prstGeom>
                </pic:spPr>
              </pic:pic>
            </a:graphicData>
          </a:graphic>
        </wp:inline>
      </w:drawing>
    </w:r>
  </w:p>
  <w:p w14:paraId="7FDD0726" w14:textId="77777777" w:rsidR="00A5756B" w:rsidRDefault="00A5756B" w:rsidP="00A5756B">
    <w:pPr>
      <w:pStyle w:val="Footer"/>
      <w:jc w:val="center"/>
      <w:rPr>
        <w:rFonts w:ascii="Lato" w:hAnsi="Lato"/>
        <w:color w:val="085771"/>
        <w:sz w:val="22"/>
        <w:szCs w:val="22"/>
      </w:rPr>
    </w:pPr>
  </w:p>
  <w:p w14:paraId="0D71A8FD" w14:textId="557B8CFF" w:rsidR="00A5756B" w:rsidRDefault="00A5756B" w:rsidP="00A5756B">
    <w:pPr>
      <w:pStyle w:val="Footer"/>
      <w:jc w:val="center"/>
    </w:pPr>
    <w:r>
      <w:rPr>
        <w:rFonts w:ascii="Lato" w:hAnsi="Lato"/>
        <w:color w:val="085771"/>
        <w:sz w:val="22"/>
        <w:szCs w:val="22"/>
      </w:rPr>
      <w:t xml:space="preserve">10699 SW Herman Rd, Tualatin, Oregon 97062    </w:t>
    </w:r>
    <w:r w:rsidRPr="00E12467">
      <w:rPr>
        <w:rFonts w:ascii="Lato" w:hAnsi="Lato"/>
        <w:color w:val="085771"/>
        <w:sz w:val="22"/>
        <w:szCs w:val="22"/>
      </w:rPr>
      <w:t>TualatinOregon.gov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37CA1" w14:textId="77777777" w:rsidR="002F4B50" w:rsidRDefault="002F4B50">
      <w:r>
        <w:separator/>
      </w:r>
    </w:p>
  </w:footnote>
  <w:footnote w:type="continuationSeparator" w:id="0">
    <w:p w14:paraId="34B586BF" w14:textId="77777777" w:rsidR="002F4B50" w:rsidRDefault="002F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EF8E9" w14:textId="77777777" w:rsidR="00FC303A" w:rsidRPr="00AF4A0A" w:rsidRDefault="00FC303A">
    <w:pPr>
      <w:pStyle w:val="Header"/>
      <w:rPr>
        <w:rFonts w:ascii="Calibri" w:hAnsi="Calibri" w:cs="Arial"/>
        <w:sz w:val="22"/>
        <w:szCs w:val="22"/>
      </w:rPr>
    </w:pPr>
  </w:p>
  <w:p w14:paraId="72FFDC8E" w14:textId="77777777" w:rsidR="00FC303A" w:rsidRPr="00482623" w:rsidRDefault="00FC303A" w:rsidP="00A306C0">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47531" w14:textId="5BA1035C" w:rsidR="00FC303A" w:rsidRPr="00A5756B" w:rsidRDefault="00A5756B" w:rsidP="00A5756B">
    <w:pPr>
      <w:pStyle w:val="Heading1"/>
      <w:tabs>
        <w:tab w:val="left" w:pos="1755"/>
      </w:tabs>
      <w:rPr>
        <w:rFonts w:ascii="PostAntiqua" w:hAnsi="PostAntiqua"/>
        <w:bCs w:val="0"/>
        <w:iCs/>
        <w:color w:val="000000" w:themeColor="text1"/>
        <w:spacing w:val="4"/>
        <w:kern w:val="52"/>
        <w:position w:val="-6"/>
        <w:sz w:val="68"/>
        <w:szCs w:val="68"/>
      </w:rPr>
    </w:pPr>
    <w:r>
      <w:rPr>
        <w:noProof/>
      </w:rPr>
      <w:drawing>
        <wp:anchor distT="0" distB="0" distL="114300" distR="114300" simplePos="0" relativeHeight="251658240" behindDoc="0" locked="0" layoutInCell="1" allowOverlap="1" wp14:anchorId="3E1094BD" wp14:editId="03590057">
          <wp:simplePos x="0" y="0"/>
          <wp:positionH relativeFrom="column">
            <wp:posOffset>-133350</wp:posOffset>
          </wp:positionH>
          <wp:positionV relativeFrom="paragraph">
            <wp:posOffset>-45085</wp:posOffset>
          </wp:positionV>
          <wp:extent cx="1376320" cy="1000125"/>
          <wp:effectExtent l="0" t="0" r="0" b="0"/>
          <wp:wrapNone/>
          <wp:docPr id="2" name="Picture 2" descr="A blue and green arrow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arrow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320" cy="1000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E50"/>
    <w:multiLevelType w:val="hybridMultilevel"/>
    <w:tmpl w:val="4DD2F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C4A23"/>
    <w:multiLevelType w:val="hybridMultilevel"/>
    <w:tmpl w:val="5CD2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A604C"/>
    <w:multiLevelType w:val="hybridMultilevel"/>
    <w:tmpl w:val="141CC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5477D"/>
    <w:multiLevelType w:val="hybridMultilevel"/>
    <w:tmpl w:val="5566C316"/>
    <w:lvl w:ilvl="0" w:tplc="C53E63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B7AD4"/>
    <w:multiLevelType w:val="hybridMultilevel"/>
    <w:tmpl w:val="7E146DB0"/>
    <w:lvl w:ilvl="0" w:tplc="EDFCA1B0">
      <w:start w:val="1"/>
      <w:numFmt w:val="decimal"/>
      <w:lvlText w:val="A%1."/>
      <w:lvlJc w:val="left"/>
      <w:pPr>
        <w:ind w:left="720" w:hanging="720"/>
      </w:pPr>
      <w:rPr>
        <w:rFonts w:ascii="Calibri" w:hAnsi="Calibri" w:hint="default"/>
        <w:b w:val="0"/>
        <w:spacing w:val="0"/>
        <w:w w:val="100"/>
        <w:position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258E5"/>
    <w:multiLevelType w:val="hybridMultilevel"/>
    <w:tmpl w:val="079C3F94"/>
    <w:lvl w:ilvl="0" w:tplc="B4F6C84E">
      <w:start w:val="729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0"/>
    <w:rsid w:val="0000255D"/>
    <w:rsid w:val="000044F9"/>
    <w:rsid w:val="00004942"/>
    <w:rsid w:val="000069C4"/>
    <w:rsid w:val="0001164D"/>
    <w:rsid w:val="0001366A"/>
    <w:rsid w:val="00013E16"/>
    <w:rsid w:val="0001459F"/>
    <w:rsid w:val="00016A1F"/>
    <w:rsid w:val="0002157C"/>
    <w:rsid w:val="00022968"/>
    <w:rsid w:val="000237F5"/>
    <w:rsid w:val="000242AB"/>
    <w:rsid w:val="00025870"/>
    <w:rsid w:val="00025D95"/>
    <w:rsid w:val="000263B9"/>
    <w:rsid w:val="00033D7E"/>
    <w:rsid w:val="00043BF9"/>
    <w:rsid w:val="000450DC"/>
    <w:rsid w:val="00045B88"/>
    <w:rsid w:val="000462FB"/>
    <w:rsid w:val="0005266A"/>
    <w:rsid w:val="00053B1F"/>
    <w:rsid w:val="000546AC"/>
    <w:rsid w:val="00054924"/>
    <w:rsid w:val="00061EBF"/>
    <w:rsid w:val="000669A0"/>
    <w:rsid w:val="0007130A"/>
    <w:rsid w:val="00072591"/>
    <w:rsid w:val="00073265"/>
    <w:rsid w:val="0007414C"/>
    <w:rsid w:val="0008190C"/>
    <w:rsid w:val="00083678"/>
    <w:rsid w:val="00085CE1"/>
    <w:rsid w:val="00085E7A"/>
    <w:rsid w:val="0008632D"/>
    <w:rsid w:val="00087F96"/>
    <w:rsid w:val="0009103E"/>
    <w:rsid w:val="00091398"/>
    <w:rsid w:val="000914B0"/>
    <w:rsid w:val="0009239E"/>
    <w:rsid w:val="000955B7"/>
    <w:rsid w:val="00095D3A"/>
    <w:rsid w:val="000973EC"/>
    <w:rsid w:val="000A443B"/>
    <w:rsid w:val="000A7130"/>
    <w:rsid w:val="000B3B38"/>
    <w:rsid w:val="000B5E4F"/>
    <w:rsid w:val="000C2597"/>
    <w:rsid w:val="000C6447"/>
    <w:rsid w:val="000D0951"/>
    <w:rsid w:val="000D19E3"/>
    <w:rsid w:val="000E1110"/>
    <w:rsid w:val="000E5C5A"/>
    <w:rsid w:val="000E78F0"/>
    <w:rsid w:val="000F155B"/>
    <w:rsid w:val="000F64F0"/>
    <w:rsid w:val="00103439"/>
    <w:rsid w:val="0010595F"/>
    <w:rsid w:val="001077E2"/>
    <w:rsid w:val="00111B37"/>
    <w:rsid w:val="00113F85"/>
    <w:rsid w:val="001157BC"/>
    <w:rsid w:val="00116AFA"/>
    <w:rsid w:val="001170B9"/>
    <w:rsid w:val="00120EEB"/>
    <w:rsid w:val="001216D6"/>
    <w:rsid w:val="00124B66"/>
    <w:rsid w:val="001252B0"/>
    <w:rsid w:val="0012572B"/>
    <w:rsid w:val="00133BBD"/>
    <w:rsid w:val="00134454"/>
    <w:rsid w:val="00135E68"/>
    <w:rsid w:val="00137412"/>
    <w:rsid w:val="00140848"/>
    <w:rsid w:val="00141A9D"/>
    <w:rsid w:val="00141FFD"/>
    <w:rsid w:val="001426C4"/>
    <w:rsid w:val="00143460"/>
    <w:rsid w:val="00143B31"/>
    <w:rsid w:val="00146C5D"/>
    <w:rsid w:val="00146E83"/>
    <w:rsid w:val="00155E85"/>
    <w:rsid w:val="00156305"/>
    <w:rsid w:val="00161AAA"/>
    <w:rsid w:val="00162D4F"/>
    <w:rsid w:val="001654BA"/>
    <w:rsid w:val="001674AC"/>
    <w:rsid w:val="0017014A"/>
    <w:rsid w:val="00170B81"/>
    <w:rsid w:val="00171E13"/>
    <w:rsid w:val="001777F1"/>
    <w:rsid w:val="001800EC"/>
    <w:rsid w:val="00182923"/>
    <w:rsid w:val="00183002"/>
    <w:rsid w:val="00184302"/>
    <w:rsid w:val="0018680C"/>
    <w:rsid w:val="00191A5F"/>
    <w:rsid w:val="001925C6"/>
    <w:rsid w:val="00193374"/>
    <w:rsid w:val="001A09AE"/>
    <w:rsid w:val="001A7ABC"/>
    <w:rsid w:val="001A7B4C"/>
    <w:rsid w:val="001B2808"/>
    <w:rsid w:val="001B2AB8"/>
    <w:rsid w:val="001B4461"/>
    <w:rsid w:val="001B7021"/>
    <w:rsid w:val="001B725C"/>
    <w:rsid w:val="001C05A6"/>
    <w:rsid w:val="001C2784"/>
    <w:rsid w:val="001C27B2"/>
    <w:rsid w:val="001C3955"/>
    <w:rsid w:val="001C6059"/>
    <w:rsid w:val="001D1C25"/>
    <w:rsid w:val="001D269C"/>
    <w:rsid w:val="001D4164"/>
    <w:rsid w:val="001D4B91"/>
    <w:rsid w:val="001E02B1"/>
    <w:rsid w:val="001E339C"/>
    <w:rsid w:val="001E3914"/>
    <w:rsid w:val="001E407B"/>
    <w:rsid w:val="001E43CE"/>
    <w:rsid w:val="001E4E8C"/>
    <w:rsid w:val="001E58D8"/>
    <w:rsid w:val="001E7345"/>
    <w:rsid w:val="001E7B88"/>
    <w:rsid w:val="001F32FC"/>
    <w:rsid w:val="001F50FC"/>
    <w:rsid w:val="001F56CF"/>
    <w:rsid w:val="001F6E8F"/>
    <w:rsid w:val="001F791A"/>
    <w:rsid w:val="00200937"/>
    <w:rsid w:val="0020244F"/>
    <w:rsid w:val="00205348"/>
    <w:rsid w:val="002119BA"/>
    <w:rsid w:val="002172AB"/>
    <w:rsid w:val="00220770"/>
    <w:rsid w:val="00220FFE"/>
    <w:rsid w:val="002223D4"/>
    <w:rsid w:val="0023504E"/>
    <w:rsid w:val="00236C38"/>
    <w:rsid w:val="00244B04"/>
    <w:rsid w:val="002507B6"/>
    <w:rsid w:val="00251044"/>
    <w:rsid w:val="0025108B"/>
    <w:rsid w:val="00257938"/>
    <w:rsid w:val="002645AF"/>
    <w:rsid w:val="00272ED5"/>
    <w:rsid w:val="00274F33"/>
    <w:rsid w:val="00285982"/>
    <w:rsid w:val="00285F45"/>
    <w:rsid w:val="00293E8D"/>
    <w:rsid w:val="002953AA"/>
    <w:rsid w:val="00296698"/>
    <w:rsid w:val="002A0AF9"/>
    <w:rsid w:val="002A2432"/>
    <w:rsid w:val="002A3FE9"/>
    <w:rsid w:val="002A4385"/>
    <w:rsid w:val="002A77BC"/>
    <w:rsid w:val="002B11DC"/>
    <w:rsid w:val="002B22AC"/>
    <w:rsid w:val="002B3D0B"/>
    <w:rsid w:val="002B5E1F"/>
    <w:rsid w:val="002B729A"/>
    <w:rsid w:val="002C2FD1"/>
    <w:rsid w:val="002C7581"/>
    <w:rsid w:val="002D0617"/>
    <w:rsid w:val="002D0C28"/>
    <w:rsid w:val="002D0D2F"/>
    <w:rsid w:val="002D1B41"/>
    <w:rsid w:val="002D59EB"/>
    <w:rsid w:val="002E084E"/>
    <w:rsid w:val="002E63CF"/>
    <w:rsid w:val="002E6DD3"/>
    <w:rsid w:val="002E7849"/>
    <w:rsid w:val="002F116A"/>
    <w:rsid w:val="002F4B50"/>
    <w:rsid w:val="002F52CA"/>
    <w:rsid w:val="00300D29"/>
    <w:rsid w:val="00301626"/>
    <w:rsid w:val="00316B44"/>
    <w:rsid w:val="00317313"/>
    <w:rsid w:val="00324B5A"/>
    <w:rsid w:val="003343A2"/>
    <w:rsid w:val="0033488D"/>
    <w:rsid w:val="0033602F"/>
    <w:rsid w:val="00340568"/>
    <w:rsid w:val="0034292C"/>
    <w:rsid w:val="003451C6"/>
    <w:rsid w:val="00346479"/>
    <w:rsid w:val="00346531"/>
    <w:rsid w:val="00346565"/>
    <w:rsid w:val="003504F0"/>
    <w:rsid w:val="003509D0"/>
    <w:rsid w:val="00351C4E"/>
    <w:rsid w:val="003619B7"/>
    <w:rsid w:val="003636CB"/>
    <w:rsid w:val="003638F9"/>
    <w:rsid w:val="003651F5"/>
    <w:rsid w:val="003673F0"/>
    <w:rsid w:val="00373210"/>
    <w:rsid w:val="003738A3"/>
    <w:rsid w:val="00377489"/>
    <w:rsid w:val="003817C4"/>
    <w:rsid w:val="003903A2"/>
    <w:rsid w:val="00390FF0"/>
    <w:rsid w:val="00392F32"/>
    <w:rsid w:val="00394460"/>
    <w:rsid w:val="00395F5A"/>
    <w:rsid w:val="003A306D"/>
    <w:rsid w:val="003A3E29"/>
    <w:rsid w:val="003A49A1"/>
    <w:rsid w:val="003A64BC"/>
    <w:rsid w:val="003A71C7"/>
    <w:rsid w:val="003B201E"/>
    <w:rsid w:val="003B6DC2"/>
    <w:rsid w:val="003B70F8"/>
    <w:rsid w:val="003C21D1"/>
    <w:rsid w:val="003C5805"/>
    <w:rsid w:val="003C7B98"/>
    <w:rsid w:val="003D01F6"/>
    <w:rsid w:val="003D0CF5"/>
    <w:rsid w:val="003D4C32"/>
    <w:rsid w:val="003D5CE5"/>
    <w:rsid w:val="003E1ABF"/>
    <w:rsid w:val="003E5888"/>
    <w:rsid w:val="003E760A"/>
    <w:rsid w:val="003E76FC"/>
    <w:rsid w:val="003F007D"/>
    <w:rsid w:val="003F00F6"/>
    <w:rsid w:val="003F191A"/>
    <w:rsid w:val="003F32F9"/>
    <w:rsid w:val="003F33C1"/>
    <w:rsid w:val="003F591B"/>
    <w:rsid w:val="003F591C"/>
    <w:rsid w:val="003F7B17"/>
    <w:rsid w:val="00406791"/>
    <w:rsid w:val="00406C07"/>
    <w:rsid w:val="0040717A"/>
    <w:rsid w:val="00411D32"/>
    <w:rsid w:val="00416DEA"/>
    <w:rsid w:val="00423A86"/>
    <w:rsid w:val="00425B13"/>
    <w:rsid w:val="00426572"/>
    <w:rsid w:val="004272A0"/>
    <w:rsid w:val="00434314"/>
    <w:rsid w:val="004347AF"/>
    <w:rsid w:val="004360EB"/>
    <w:rsid w:val="00446506"/>
    <w:rsid w:val="00446801"/>
    <w:rsid w:val="00450D86"/>
    <w:rsid w:val="0045109B"/>
    <w:rsid w:val="00453E4A"/>
    <w:rsid w:val="00456FD7"/>
    <w:rsid w:val="00460B09"/>
    <w:rsid w:val="004638D4"/>
    <w:rsid w:val="00466BC1"/>
    <w:rsid w:val="00470ED3"/>
    <w:rsid w:val="0047268B"/>
    <w:rsid w:val="004760D2"/>
    <w:rsid w:val="00477793"/>
    <w:rsid w:val="00477F44"/>
    <w:rsid w:val="0048168E"/>
    <w:rsid w:val="00482623"/>
    <w:rsid w:val="00484880"/>
    <w:rsid w:val="004854DD"/>
    <w:rsid w:val="00486624"/>
    <w:rsid w:val="004952ED"/>
    <w:rsid w:val="0049605C"/>
    <w:rsid w:val="004A05B9"/>
    <w:rsid w:val="004A093B"/>
    <w:rsid w:val="004A2348"/>
    <w:rsid w:val="004A484A"/>
    <w:rsid w:val="004B3DA1"/>
    <w:rsid w:val="004B468E"/>
    <w:rsid w:val="004B4F6C"/>
    <w:rsid w:val="004B50E3"/>
    <w:rsid w:val="004B7390"/>
    <w:rsid w:val="004C5B48"/>
    <w:rsid w:val="004C6746"/>
    <w:rsid w:val="004D1978"/>
    <w:rsid w:val="004D277B"/>
    <w:rsid w:val="004D31F3"/>
    <w:rsid w:val="004D77EB"/>
    <w:rsid w:val="004E0583"/>
    <w:rsid w:val="004E4AE1"/>
    <w:rsid w:val="004E5325"/>
    <w:rsid w:val="004E6E3D"/>
    <w:rsid w:val="004E7942"/>
    <w:rsid w:val="004F5C1E"/>
    <w:rsid w:val="004F7BC6"/>
    <w:rsid w:val="00500494"/>
    <w:rsid w:val="0050320F"/>
    <w:rsid w:val="00504D00"/>
    <w:rsid w:val="00510EDE"/>
    <w:rsid w:val="00522A95"/>
    <w:rsid w:val="0052796B"/>
    <w:rsid w:val="00527B97"/>
    <w:rsid w:val="00530218"/>
    <w:rsid w:val="0053181C"/>
    <w:rsid w:val="00533EDA"/>
    <w:rsid w:val="00544943"/>
    <w:rsid w:val="00547995"/>
    <w:rsid w:val="0055390A"/>
    <w:rsid w:val="00553CCF"/>
    <w:rsid w:val="005644BA"/>
    <w:rsid w:val="00564615"/>
    <w:rsid w:val="00572222"/>
    <w:rsid w:val="00572A7D"/>
    <w:rsid w:val="00572CDB"/>
    <w:rsid w:val="00572EDA"/>
    <w:rsid w:val="005766A6"/>
    <w:rsid w:val="00580AC9"/>
    <w:rsid w:val="00582228"/>
    <w:rsid w:val="00583BD6"/>
    <w:rsid w:val="0058401E"/>
    <w:rsid w:val="00592FDF"/>
    <w:rsid w:val="00593EA3"/>
    <w:rsid w:val="0059444D"/>
    <w:rsid w:val="00594CB8"/>
    <w:rsid w:val="00594DE1"/>
    <w:rsid w:val="00595DC6"/>
    <w:rsid w:val="005974C1"/>
    <w:rsid w:val="005A4AB9"/>
    <w:rsid w:val="005B28EB"/>
    <w:rsid w:val="005B30F5"/>
    <w:rsid w:val="005B342B"/>
    <w:rsid w:val="005B5323"/>
    <w:rsid w:val="005B5567"/>
    <w:rsid w:val="005B6C2F"/>
    <w:rsid w:val="005C199C"/>
    <w:rsid w:val="005C3330"/>
    <w:rsid w:val="005C3E44"/>
    <w:rsid w:val="005D230F"/>
    <w:rsid w:val="005D338E"/>
    <w:rsid w:val="005D35DA"/>
    <w:rsid w:val="005D3C04"/>
    <w:rsid w:val="005D546A"/>
    <w:rsid w:val="005D7D0C"/>
    <w:rsid w:val="005E1EF8"/>
    <w:rsid w:val="005E2F5F"/>
    <w:rsid w:val="005E4D13"/>
    <w:rsid w:val="005E7A31"/>
    <w:rsid w:val="005F3DBA"/>
    <w:rsid w:val="005F4292"/>
    <w:rsid w:val="005F44BB"/>
    <w:rsid w:val="005F6297"/>
    <w:rsid w:val="0060059E"/>
    <w:rsid w:val="00601E63"/>
    <w:rsid w:val="00603DEA"/>
    <w:rsid w:val="00606739"/>
    <w:rsid w:val="00606DE6"/>
    <w:rsid w:val="00610F99"/>
    <w:rsid w:val="00613C75"/>
    <w:rsid w:val="0061504A"/>
    <w:rsid w:val="006157A8"/>
    <w:rsid w:val="0061760E"/>
    <w:rsid w:val="00620C13"/>
    <w:rsid w:val="00622441"/>
    <w:rsid w:val="00623BB0"/>
    <w:rsid w:val="00626E26"/>
    <w:rsid w:val="0063478A"/>
    <w:rsid w:val="00635BBC"/>
    <w:rsid w:val="00642931"/>
    <w:rsid w:val="00642967"/>
    <w:rsid w:val="006523CB"/>
    <w:rsid w:val="00652E45"/>
    <w:rsid w:val="00657008"/>
    <w:rsid w:val="00662785"/>
    <w:rsid w:val="00663B12"/>
    <w:rsid w:val="00663EE3"/>
    <w:rsid w:val="00670173"/>
    <w:rsid w:val="00670E08"/>
    <w:rsid w:val="00672898"/>
    <w:rsid w:val="00677629"/>
    <w:rsid w:val="006844FE"/>
    <w:rsid w:val="00690BC8"/>
    <w:rsid w:val="00691B0A"/>
    <w:rsid w:val="006A16A7"/>
    <w:rsid w:val="006A709F"/>
    <w:rsid w:val="006B212D"/>
    <w:rsid w:val="006B3AE9"/>
    <w:rsid w:val="006B6145"/>
    <w:rsid w:val="006C192C"/>
    <w:rsid w:val="006C5084"/>
    <w:rsid w:val="006C630B"/>
    <w:rsid w:val="006C64CD"/>
    <w:rsid w:val="006D0CCA"/>
    <w:rsid w:val="006D3159"/>
    <w:rsid w:val="006D34A6"/>
    <w:rsid w:val="006D5010"/>
    <w:rsid w:val="006D6CC0"/>
    <w:rsid w:val="006E1708"/>
    <w:rsid w:val="006E1F59"/>
    <w:rsid w:val="006E3ECA"/>
    <w:rsid w:val="006E625F"/>
    <w:rsid w:val="006E6542"/>
    <w:rsid w:val="006F11DD"/>
    <w:rsid w:val="006F360F"/>
    <w:rsid w:val="006F4218"/>
    <w:rsid w:val="006F44F2"/>
    <w:rsid w:val="00704096"/>
    <w:rsid w:val="0070638A"/>
    <w:rsid w:val="00706F0B"/>
    <w:rsid w:val="00711B33"/>
    <w:rsid w:val="00712794"/>
    <w:rsid w:val="00712D02"/>
    <w:rsid w:val="007139C1"/>
    <w:rsid w:val="00713C8E"/>
    <w:rsid w:val="007156B1"/>
    <w:rsid w:val="00715E89"/>
    <w:rsid w:val="007172D3"/>
    <w:rsid w:val="00721270"/>
    <w:rsid w:val="00726082"/>
    <w:rsid w:val="00734A0C"/>
    <w:rsid w:val="00736E18"/>
    <w:rsid w:val="00741F6F"/>
    <w:rsid w:val="00747089"/>
    <w:rsid w:val="00755AF5"/>
    <w:rsid w:val="0075609B"/>
    <w:rsid w:val="00766F71"/>
    <w:rsid w:val="00767FD5"/>
    <w:rsid w:val="00770214"/>
    <w:rsid w:val="00772316"/>
    <w:rsid w:val="00773312"/>
    <w:rsid w:val="007754C9"/>
    <w:rsid w:val="0077643A"/>
    <w:rsid w:val="007854E2"/>
    <w:rsid w:val="00791265"/>
    <w:rsid w:val="00792AAE"/>
    <w:rsid w:val="0079425C"/>
    <w:rsid w:val="007A21E2"/>
    <w:rsid w:val="007A3835"/>
    <w:rsid w:val="007A3D7C"/>
    <w:rsid w:val="007A5CA0"/>
    <w:rsid w:val="007A786C"/>
    <w:rsid w:val="007A7CAB"/>
    <w:rsid w:val="007A7E7A"/>
    <w:rsid w:val="007B025F"/>
    <w:rsid w:val="007B0CB2"/>
    <w:rsid w:val="007B3EFB"/>
    <w:rsid w:val="007B452A"/>
    <w:rsid w:val="007B54A0"/>
    <w:rsid w:val="007C086A"/>
    <w:rsid w:val="007C169D"/>
    <w:rsid w:val="007C2686"/>
    <w:rsid w:val="007C42FB"/>
    <w:rsid w:val="007C6C14"/>
    <w:rsid w:val="007D300B"/>
    <w:rsid w:val="007D420F"/>
    <w:rsid w:val="007D43E8"/>
    <w:rsid w:val="007D48E5"/>
    <w:rsid w:val="007D7809"/>
    <w:rsid w:val="007E0ACB"/>
    <w:rsid w:val="007E14E9"/>
    <w:rsid w:val="007E1E5C"/>
    <w:rsid w:val="007E7084"/>
    <w:rsid w:val="007F4A6E"/>
    <w:rsid w:val="007F6DE6"/>
    <w:rsid w:val="007F7598"/>
    <w:rsid w:val="00802DAB"/>
    <w:rsid w:val="00806FE8"/>
    <w:rsid w:val="008070E9"/>
    <w:rsid w:val="00812AB6"/>
    <w:rsid w:val="00813FA7"/>
    <w:rsid w:val="008170EC"/>
    <w:rsid w:val="00817BD0"/>
    <w:rsid w:val="00820A7D"/>
    <w:rsid w:val="008223EC"/>
    <w:rsid w:val="00826AE7"/>
    <w:rsid w:val="008314D9"/>
    <w:rsid w:val="008331C2"/>
    <w:rsid w:val="00840B7D"/>
    <w:rsid w:val="00840BF3"/>
    <w:rsid w:val="008432CF"/>
    <w:rsid w:val="008433D0"/>
    <w:rsid w:val="008434C2"/>
    <w:rsid w:val="00847EE9"/>
    <w:rsid w:val="008507C6"/>
    <w:rsid w:val="00850F9B"/>
    <w:rsid w:val="008523BD"/>
    <w:rsid w:val="008560C5"/>
    <w:rsid w:val="00860D8B"/>
    <w:rsid w:val="00862142"/>
    <w:rsid w:val="008664B9"/>
    <w:rsid w:val="00871EF5"/>
    <w:rsid w:val="00883F7B"/>
    <w:rsid w:val="0088513B"/>
    <w:rsid w:val="00887A40"/>
    <w:rsid w:val="00892AD0"/>
    <w:rsid w:val="008934A0"/>
    <w:rsid w:val="00893D7B"/>
    <w:rsid w:val="00894568"/>
    <w:rsid w:val="008A61FB"/>
    <w:rsid w:val="008A6804"/>
    <w:rsid w:val="008A7D64"/>
    <w:rsid w:val="008B0BF1"/>
    <w:rsid w:val="008B0F99"/>
    <w:rsid w:val="008B5DF9"/>
    <w:rsid w:val="008B68E7"/>
    <w:rsid w:val="008B69CB"/>
    <w:rsid w:val="008C1A36"/>
    <w:rsid w:val="008C3AB2"/>
    <w:rsid w:val="008D27FC"/>
    <w:rsid w:val="008D3469"/>
    <w:rsid w:val="008D40AB"/>
    <w:rsid w:val="008E3BFB"/>
    <w:rsid w:val="008F404A"/>
    <w:rsid w:val="00903B23"/>
    <w:rsid w:val="00912AB4"/>
    <w:rsid w:val="00914B11"/>
    <w:rsid w:val="00915669"/>
    <w:rsid w:val="00916732"/>
    <w:rsid w:val="009203E6"/>
    <w:rsid w:val="00922916"/>
    <w:rsid w:val="009245FD"/>
    <w:rsid w:val="0092566B"/>
    <w:rsid w:val="009306F2"/>
    <w:rsid w:val="0093165B"/>
    <w:rsid w:val="00935906"/>
    <w:rsid w:val="009372C3"/>
    <w:rsid w:val="00940166"/>
    <w:rsid w:val="00940B7E"/>
    <w:rsid w:val="00944023"/>
    <w:rsid w:val="00944DCB"/>
    <w:rsid w:val="00947B5A"/>
    <w:rsid w:val="00951BF1"/>
    <w:rsid w:val="009642BC"/>
    <w:rsid w:val="009717ED"/>
    <w:rsid w:val="0097321C"/>
    <w:rsid w:val="00974E28"/>
    <w:rsid w:val="00980A36"/>
    <w:rsid w:val="009825FE"/>
    <w:rsid w:val="00985DF9"/>
    <w:rsid w:val="009860BA"/>
    <w:rsid w:val="00986A8E"/>
    <w:rsid w:val="009933E5"/>
    <w:rsid w:val="00995463"/>
    <w:rsid w:val="00996352"/>
    <w:rsid w:val="009971EF"/>
    <w:rsid w:val="009A2C00"/>
    <w:rsid w:val="009A3C0E"/>
    <w:rsid w:val="009A4B62"/>
    <w:rsid w:val="009B34F3"/>
    <w:rsid w:val="009C02E3"/>
    <w:rsid w:val="009C1181"/>
    <w:rsid w:val="009C278A"/>
    <w:rsid w:val="009C5F01"/>
    <w:rsid w:val="009C76AE"/>
    <w:rsid w:val="009C79EF"/>
    <w:rsid w:val="009D0AB9"/>
    <w:rsid w:val="009D224B"/>
    <w:rsid w:val="009D26D0"/>
    <w:rsid w:val="009D2F76"/>
    <w:rsid w:val="009E17BA"/>
    <w:rsid w:val="009E4EBE"/>
    <w:rsid w:val="009E65A0"/>
    <w:rsid w:val="009F03AB"/>
    <w:rsid w:val="009F243D"/>
    <w:rsid w:val="009F363B"/>
    <w:rsid w:val="009F3D5C"/>
    <w:rsid w:val="009F47A0"/>
    <w:rsid w:val="009F565E"/>
    <w:rsid w:val="00A025AD"/>
    <w:rsid w:val="00A049B4"/>
    <w:rsid w:val="00A06FD9"/>
    <w:rsid w:val="00A100E2"/>
    <w:rsid w:val="00A13C96"/>
    <w:rsid w:val="00A148AE"/>
    <w:rsid w:val="00A17E16"/>
    <w:rsid w:val="00A25EBC"/>
    <w:rsid w:val="00A26B20"/>
    <w:rsid w:val="00A306C0"/>
    <w:rsid w:val="00A31F08"/>
    <w:rsid w:val="00A34ED2"/>
    <w:rsid w:val="00A35E61"/>
    <w:rsid w:val="00A36393"/>
    <w:rsid w:val="00A47EA8"/>
    <w:rsid w:val="00A5000C"/>
    <w:rsid w:val="00A55A17"/>
    <w:rsid w:val="00A5756B"/>
    <w:rsid w:val="00A57B20"/>
    <w:rsid w:val="00A65624"/>
    <w:rsid w:val="00A70763"/>
    <w:rsid w:val="00A71D38"/>
    <w:rsid w:val="00A73CA5"/>
    <w:rsid w:val="00A74E15"/>
    <w:rsid w:val="00A8176E"/>
    <w:rsid w:val="00A8590F"/>
    <w:rsid w:val="00A87079"/>
    <w:rsid w:val="00A93A8E"/>
    <w:rsid w:val="00A95730"/>
    <w:rsid w:val="00A9712F"/>
    <w:rsid w:val="00AA294B"/>
    <w:rsid w:val="00AB1289"/>
    <w:rsid w:val="00AB6A94"/>
    <w:rsid w:val="00AD18A5"/>
    <w:rsid w:val="00AD2573"/>
    <w:rsid w:val="00AD2E03"/>
    <w:rsid w:val="00AD3E13"/>
    <w:rsid w:val="00AE3A83"/>
    <w:rsid w:val="00AE4BC4"/>
    <w:rsid w:val="00AE7635"/>
    <w:rsid w:val="00AE7711"/>
    <w:rsid w:val="00AF474B"/>
    <w:rsid w:val="00AF4A0A"/>
    <w:rsid w:val="00AF4F5E"/>
    <w:rsid w:val="00AF78C5"/>
    <w:rsid w:val="00AF7CAE"/>
    <w:rsid w:val="00B00E6D"/>
    <w:rsid w:val="00B028C2"/>
    <w:rsid w:val="00B05BDD"/>
    <w:rsid w:val="00B05EC5"/>
    <w:rsid w:val="00B06876"/>
    <w:rsid w:val="00B07104"/>
    <w:rsid w:val="00B132B8"/>
    <w:rsid w:val="00B139A0"/>
    <w:rsid w:val="00B13DF3"/>
    <w:rsid w:val="00B161E8"/>
    <w:rsid w:val="00B1675F"/>
    <w:rsid w:val="00B267C3"/>
    <w:rsid w:val="00B26920"/>
    <w:rsid w:val="00B2775F"/>
    <w:rsid w:val="00B30808"/>
    <w:rsid w:val="00B31EAE"/>
    <w:rsid w:val="00B34BA0"/>
    <w:rsid w:val="00B36789"/>
    <w:rsid w:val="00B41549"/>
    <w:rsid w:val="00B41F70"/>
    <w:rsid w:val="00B425D4"/>
    <w:rsid w:val="00B427F7"/>
    <w:rsid w:val="00B47EFB"/>
    <w:rsid w:val="00B504A5"/>
    <w:rsid w:val="00B50A0E"/>
    <w:rsid w:val="00B61617"/>
    <w:rsid w:val="00B65075"/>
    <w:rsid w:val="00B729F6"/>
    <w:rsid w:val="00B73D31"/>
    <w:rsid w:val="00B75BB9"/>
    <w:rsid w:val="00B76C3E"/>
    <w:rsid w:val="00B76E7C"/>
    <w:rsid w:val="00B839CF"/>
    <w:rsid w:val="00B8638B"/>
    <w:rsid w:val="00B92C1E"/>
    <w:rsid w:val="00B9375A"/>
    <w:rsid w:val="00B93F2E"/>
    <w:rsid w:val="00B9483E"/>
    <w:rsid w:val="00B9789B"/>
    <w:rsid w:val="00BA127F"/>
    <w:rsid w:val="00BA2301"/>
    <w:rsid w:val="00BA4CBB"/>
    <w:rsid w:val="00BA55E5"/>
    <w:rsid w:val="00BA7708"/>
    <w:rsid w:val="00BB2E6B"/>
    <w:rsid w:val="00BB6739"/>
    <w:rsid w:val="00BC30AD"/>
    <w:rsid w:val="00BC43B3"/>
    <w:rsid w:val="00BC6544"/>
    <w:rsid w:val="00BD1DF4"/>
    <w:rsid w:val="00BD6169"/>
    <w:rsid w:val="00BD69EE"/>
    <w:rsid w:val="00BE72C5"/>
    <w:rsid w:val="00BF0DA5"/>
    <w:rsid w:val="00BF2303"/>
    <w:rsid w:val="00BF3A95"/>
    <w:rsid w:val="00BF4533"/>
    <w:rsid w:val="00BF46E9"/>
    <w:rsid w:val="00BF622C"/>
    <w:rsid w:val="00BF6F37"/>
    <w:rsid w:val="00BF72AF"/>
    <w:rsid w:val="00BF794F"/>
    <w:rsid w:val="00C06D69"/>
    <w:rsid w:val="00C112EE"/>
    <w:rsid w:val="00C206CF"/>
    <w:rsid w:val="00C22AD5"/>
    <w:rsid w:val="00C25B1E"/>
    <w:rsid w:val="00C3026A"/>
    <w:rsid w:val="00C3175F"/>
    <w:rsid w:val="00C32606"/>
    <w:rsid w:val="00C41A4C"/>
    <w:rsid w:val="00C41BFC"/>
    <w:rsid w:val="00C4265B"/>
    <w:rsid w:val="00C432B7"/>
    <w:rsid w:val="00C43FD4"/>
    <w:rsid w:val="00C444D1"/>
    <w:rsid w:val="00C4534C"/>
    <w:rsid w:val="00C52740"/>
    <w:rsid w:val="00C57144"/>
    <w:rsid w:val="00C57AB1"/>
    <w:rsid w:val="00C64C78"/>
    <w:rsid w:val="00C655A6"/>
    <w:rsid w:val="00C659C4"/>
    <w:rsid w:val="00C67A35"/>
    <w:rsid w:val="00C70734"/>
    <w:rsid w:val="00C7073A"/>
    <w:rsid w:val="00C712C6"/>
    <w:rsid w:val="00C74895"/>
    <w:rsid w:val="00C833B5"/>
    <w:rsid w:val="00C90275"/>
    <w:rsid w:val="00C913F0"/>
    <w:rsid w:val="00C914AC"/>
    <w:rsid w:val="00C91D8C"/>
    <w:rsid w:val="00C93882"/>
    <w:rsid w:val="00CA0895"/>
    <w:rsid w:val="00CA1F81"/>
    <w:rsid w:val="00CA7012"/>
    <w:rsid w:val="00CB2B15"/>
    <w:rsid w:val="00CB43F9"/>
    <w:rsid w:val="00CC0512"/>
    <w:rsid w:val="00CC217F"/>
    <w:rsid w:val="00CC2D4E"/>
    <w:rsid w:val="00CC3CB0"/>
    <w:rsid w:val="00CC5C72"/>
    <w:rsid w:val="00CD06F2"/>
    <w:rsid w:val="00CD59EB"/>
    <w:rsid w:val="00CD69BF"/>
    <w:rsid w:val="00CE1A5A"/>
    <w:rsid w:val="00CE3ED3"/>
    <w:rsid w:val="00CE693E"/>
    <w:rsid w:val="00CE7441"/>
    <w:rsid w:val="00CF5BDB"/>
    <w:rsid w:val="00CF5D56"/>
    <w:rsid w:val="00D04436"/>
    <w:rsid w:val="00D049A6"/>
    <w:rsid w:val="00D11EA7"/>
    <w:rsid w:val="00D14C78"/>
    <w:rsid w:val="00D21A95"/>
    <w:rsid w:val="00D2287B"/>
    <w:rsid w:val="00D259BD"/>
    <w:rsid w:val="00D32C4F"/>
    <w:rsid w:val="00D416EC"/>
    <w:rsid w:val="00D45DDB"/>
    <w:rsid w:val="00D47342"/>
    <w:rsid w:val="00D5250C"/>
    <w:rsid w:val="00D55955"/>
    <w:rsid w:val="00D562A5"/>
    <w:rsid w:val="00D563B6"/>
    <w:rsid w:val="00D660E8"/>
    <w:rsid w:val="00D67175"/>
    <w:rsid w:val="00D70E84"/>
    <w:rsid w:val="00D77767"/>
    <w:rsid w:val="00D83C92"/>
    <w:rsid w:val="00D84C73"/>
    <w:rsid w:val="00D86CFF"/>
    <w:rsid w:val="00D87BF0"/>
    <w:rsid w:val="00D92957"/>
    <w:rsid w:val="00D92ACB"/>
    <w:rsid w:val="00D941D6"/>
    <w:rsid w:val="00D94288"/>
    <w:rsid w:val="00D97086"/>
    <w:rsid w:val="00DA4295"/>
    <w:rsid w:val="00DA5E22"/>
    <w:rsid w:val="00DA7CCE"/>
    <w:rsid w:val="00DB0CC3"/>
    <w:rsid w:val="00DB1B0F"/>
    <w:rsid w:val="00DB43C5"/>
    <w:rsid w:val="00DB6067"/>
    <w:rsid w:val="00DC10FA"/>
    <w:rsid w:val="00DC2B42"/>
    <w:rsid w:val="00DC35E4"/>
    <w:rsid w:val="00DC531D"/>
    <w:rsid w:val="00DD2C11"/>
    <w:rsid w:val="00DE288A"/>
    <w:rsid w:val="00DF0063"/>
    <w:rsid w:val="00DF0C1E"/>
    <w:rsid w:val="00DF182E"/>
    <w:rsid w:val="00DF21D8"/>
    <w:rsid w:val="00DF3B3B"/>
    <w:rsid w:val="00DF7278"/>
    <w:rsid w:val="00E00EC1"/>
    <w:rsid w:val="00E013FA"/>
    <w:rsid w:val="00E13FFB"/>
    <w:rsid w:val="00E177B0"/>
    <w:rsid w:val="00E22CBB"/>
    <w:rsid w:val="00E25F62"/>
    <w:rsid w:val="00E2661C"/>
    <w:rsid w:val="00E31C3F"/>
    <w:rsid w:val="00E3490E"/>
    <w:rsid w:val="00E43E81"/>
    <w:rsid w:val="00E44130"/>
    <w:rsid w:val="00E44FE4"/>
    <w:rsid w:val="00E454B8"/>
    <w:rsid w:val="00E50769"/>
    <w:rsid w:val="00E53077"/>
    <w:rsid w:val="00E639B2"/>
    <w:rsid w:val="00E715D2"/>
    <w:rsid w:val="00E762FF"/>
    <w:rsid w:val="00E813B1"/>
    <w:rsid w:val="00E85906"/>
    <w:rsid w:val="00E92182"/>
    <w:rsid w:val="00E92892"/>
    <w:rsid w:val="00E96D45"/>
    <w:rsid w:val="00EA1B19"/>
    <w:rsid w:val="00EA3C53"/>
    <w:rsid w:val="00EB2B5B"/>
    <w:rsid w:val="00EB70B5"/>
    <w:rsid w:val="00EC4B7D"/>
    <w:rsid w:val="00EC4E94"/>
    <w:rsid w:val="00EC5A16"/>
    <w:rsid w:val="00EC64E0"/>
    <w:rsid w:val="00EC7CC8"/>
    <w:rsid w:val="00EE056B"/>
    <w:rsid w:val="00EE212B"/>
    <w:rsid w:val="00EE65A1"/>
    <w:rsid w:val="00EE6C72"/>
    <w:rsid w:val="00EF1CA2"/>
    <w:rsid w:val="00EF3952"/>
    <w:rsid w:val="00F00C5E"/>
    <w:rsid w:val="00F029B4"/>
    <w:rsid w:val="00F0395A"/>
    <w:rsid w:val="00F04025"/>
    <w:rsid w:val="00F053CE"/>
    <w:rsid w:val="00F0774F"/>
    <w:rsid w:val="00F17551"/>
    <w:rsid w:val="00F17EA7"/>
    <w:rsid w:val="00F20B28"/>
    <w:rsid w:val="00F2360B"/>
    <w:rsid w:val="00F24075"/>
    <w:rsid w:val="00F246DE"/>
    <w:rsid w:val="00F30FE7"/>
    <w:rsid w:val="00F31B1D"/>
    <w:rsid w:val="00F31D36"/>
    <w:rsid w:val="00F31DA1"/>
    <w:rsid w:val="00F33556"/>
    <w:rsid w:val="00F33A35"/>
    <w:rsid w:val="00F44A50"/>
    <w:rsid w:val="00F450D2"/>
    <w:rsid w:val="00F45BE9"/>
    <w:rsid w:val="00F47725"/>
    <w:rsid w:val="00F50416"/>
    <w:rsid w:val="00F50B8E"/>
    <w:rsid w:val="00F520CE"/>
    <w:rsid w:val="00F5221F"/>
    <w:rsid w:val="00F53F7C"/>
    <w:rsid w:val="00F561E6"/>
    <w:rsid w:val="00F634F2"/>
    <w:rsid w:val="00F636CA"/>
    <w:rsid w:val="00F638D8"/>
    <w:rsid w:val="00F6411C"/>
    <w:rsid w:val="00F64546"/>
    <w:rsid w:val="00F703B0"/>
    <w:rsid w:val="00F73C20"/>
    <w:rsid w:val="00F73DB4"/>
    <w:rsid w:val="00F747D9"/>
    <w:rsid w:val="00F8172A"/>
    <w:rsid w:val="00F83D32"/>
    <w:rsid w:val="00F8660A"/>
    <w:rsid w:val="00F86B60"/>
    <w:rsid w:val="00F86ECA"/>
    <w:rsid w:val="00F91637"/>
    <w:rsid w:val="00F93DEF"/>
    <w:rsid w:val="00F94B96"/>
    <w:rsid w:val="00F96906"/>
    <w:rsid w:val="00FA11CF"/>
    <w:rsid w:val="00FA1D40"/>
    <w:rsid w:val="00FA531F"/>
    <w:rsid w:val="00FA7F9A"/>
    <w:rsid w:val="00FB253D"/>
    <w:rsid w:val="00FB7222"/>
    <w:rsid w:val="00FC2B8E"/>
    <w:rsid w:val="00FC303A"/>
    <w:rsid w:val="00FC3A95"/>
    <w:rsid w:val="00FC5831"/>
    <w:rsid w:val="00FC7B73"/>
    <w:rsid w:val="00FD0922"/>
    <w:rsid w:val="00FD426A"/>
    <w:rsid w:val="00FE01C2"/>
    <w:rsid w:val="00FE23E4"/>
    <w:rsid w:val="00FE28AB"/>
    <w:rsid w:val="00FE3069"/>
    <w:rsid w:val="00FF0D8D"/>
    <w:rsid w:val="00FF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A2C7F"/>
  <w15:docId w15:val="{1DA333D6-BDA6-4DA0-90ED-EA778E81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38B"/>
    <w:rPr>
      <w:sz w:val="24"/>
      <w:szCs w:val="24"/>
    </w:rPr>
  </w:style>
  <w:style w:type="paragraph" w:styleId="Heading1">
    <w:name w:val="heading 1"/>
    <w:basedOn w:val="Normal"/>
    <w:next w:val="Normal"/>
    <w:link w:val="Heading1Char"/>
    <w:uiPriority w:val="9"/>
    <w:qFormat/>
    <w:rsid w:val="001654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3D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1A9D"/>
    <w:pPr>
      <w:tabs>
        <w:tab w:val="center" w:pos="4320"/>
        <w:tab w:val="right" w:pos="8640"/>
      </w:tabs>
    </w:pPr>
  </w:style>
  <w:style w:type="paragraph" w:styleId="Footer">
    <w:name w:val="footer"/>
    <w:basedOn w:val="Normal"/>
    <w:link w:val="FooterChar"/>
    <w:semiHidden/>
    <w:rsid w:val="00141A9D"/>
    <w:pPr>
      <w:tabs>
        <w:tab w:val="center" w:pos="4320"/>
        <w:tab w:val="right" w:pos="8640"/>
      </w:tabs>
    </w:pPr>
  </w:style>
  <w:style w:type="paragraph" w:styleId="BalloonText">
    <w:name w:val="Balloon Text"/>
    <w:basedOn w:val="Normal"/>
    <w:link w:val="BalloonTextChar"/>
    <w:uiPriority w:val="99"/>
    <w:semiHidden/>
    <w:unhideWhenUsed/>
    <w:rsid w:val="007B025F"/>
    <w:rPr>
      <w:rFonts w:ascii="Tahoma" w:hAnsi="Tahoma" w:cs="Tahoma"/>
      <w:sz w:val="16"/>
      <w:szCs w:val="16"/>
    </w:rPr>
  </w:style>
  <w:style w:type="character" w:customStyle="1" w:styleId="BalloonTextChar">
    <w:name w:val="Balloon Text Char"/>
    <w:basedOn w:val="DefaultParagraphFont"/>
    <w:link w:val="BalloonText"/>
    <w:uiPriority w:val="99"/>
    <w:semiHidden/>
    <w:rsid w:val="007B025F"/>
    <w:rPr>
      <w:rFonts w:ascii="Tahoma" w:hAnsi="Tahoma" w:cs="Tahoma"/>
      <w:sz w:val="16"/>
      <w:szCs w:val="16"/>
    </w:rPr>
  </w:style>
  <w:style w:type="table" w:styleId="TableGrid">
    <w:name w:val="Table Grid"/>
    <w:basedOn w:val="TableNormal"/>
    <w:uiPriority w:val="59"/>
    <w:rsid w:val="007B02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D2573"/>
    <w:rPr>
      <w:sz w:val="24"/>
      <w:szCs w:val="24"/>
    </w:rPr>
  </w:style>
  <w:style w:type="character" w:customStyle="1" w:styleId="FooterChar">
    <w:name w:val="Footer Char"/>
    <w:basedOn w:val="DefaultParagraphFont"/>
    <w:link w:val="Footer"/>
    <w:semiHidden/>
    <w:rsid w:val="00AD2573"/>
    <w:rPr>
      <w:sz w:val="24"/>
      <w:szCs w:val="24"/>
    </w:rPr>
  </w:style>
  <w:style w:type="paragraph" w:styleId="ListParagraph">
    <w:name w:val="List Paragraph"/>
    <w:basedOn w:val="Normal"/>
    <w:link w:val="ListParagraphChar"/>
    <w:uiPriority w:val="1"/>
    <w:qFormat/>
    <w:rsid w:val="00B41549"/>
    <w:pPr>
      <w:ind w:left="720"/>
      <w:contextualSpacing/>
    </w:pPr>
  </w:style>
  <w:style w:type="character" w:styleId="CommentReference">
    <w:name w:val="annotation reference"/>
    <w:basedOn w:val="DefaultParagraphFont"/>
    <w:uiPriority w:val="99"/>
    <w:semiHidden/>
    <w:unhideWhenUsed/>
    <w:rsid w:val="00E22CBB"/>
    <w:rPr>
      <w:sz w:val="16"/>
      <w:szCs w:val="16"/>
    </w:rPr>
  </w:style>
  <w:style w:type="paragraph" w:styleId="CommentText">
    <w:name w:val="annotation text"/>
    <w:basedOn w:val="Normal"/>
    <w:link w:val="CommentTextChar"/>
    <w:uiPriority w:val="99"/>
    <w:semiHidden/>
    <w:unhideWhenUsed/>
    <w:rsid w:val="00E22CBB"/>
    <w:rPr>
      <w:sz w:val="20"/>
      <w:szCs w:val="20"/>
    </w:rPr>
  </w:style>
  <w:style w:type="character" w:customStyle="1" w:styleId="CommentTextChar">
    <w:name w:val="Comment Text Char"/>
    <w:basedOn w:val="DefaultParagraphFont"/>
    <w:link w:val="CommentText"/>
    <w:uiPriority w:val="99"/>
    <w:semiHidden/>
    <w:rsid w:val="00E22CBB"/>
  </w:style>
  <w:style w:type="paragraph" w:styleId="CommentSubject">
    <w:name w:val="annotation subject"/>
    <w:basedOn w:val="CommentText"/>
    <w:next w:val="CommentText"/>
    <w:link w:val="CommentSubjectChar"/>
    <w:uiPriority w:val="99"/>
    <w:semiHidden/>
    <w:unhideWhenUsed/>
    <w:rsid w:val="00E22CBB"/>
    <w:rPr>
      <w:b/>
      <w:bCs/>
    </w:rPr>
  </w:style>
  <w:style w:type="character" w:customStyle="1" w:styleId="CommentSubjectChar">
    <w:name w:val="Comment Subject Char"/>
    <w:basedOn w:val="CommentTextChar"/>
    <w:link w:val="CommentSubject"/>
    <w:uiPriority w:val="99"/>
    <w:semiHidden/>
    <w:rsid w:val="00E22CBB"/>
    <w:rPr>
      <w:b/>
      <w:bCs/>
    </w:rPr>
  </w:style>
  <w:style w:type="character" w:customStyle="1" w:styleId="Heading1Char">
    <w:name w:val="Heading 1 Char"/>
    <w:basedOn w:val="DefaultParagraphFont"/>
    <w:link w:val="Heading1"/>
    <w:uiPriority w:val="9"/>
    <w:rsid w:val="001654BA"/>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1654BA"/>
    <w:rPr>
      <w:b/>
      <w:bCs/>
      <w:i/>
      <w:iCs/>
      <w:color w:val="4F81BD" w:themeColor="accent1"/>
    </w:rPr>
  </w:style>
  <w:style w:type="character" w:styleId="Hyperlink">
    <w:name w:val="Hyperlink"/>
    <w:basedOn w:val="DefaultParagraphFont"/>
    <w:uiPriority w:val="99"/>
    <w:unhideWhenUsed/>
    <w:rsid w:val="00A71D38"/>
    <w:rPr>
      <w:color w:val="0000FF" w:themeColor="hyperlink"/>
      <w:u w:val="single"/>
    </w:rPr>
  </w:style>
  <w:style w:type="character" w:customStyle="1" w:styleId="Heading2Char">
    <w:name w:val="Heading 2 Char"/>
    <w:basedOn w:val="DefaultParagraphFont"/>
    <w:link w:val="Heading2"/>
    <w:uiPriority w:val="9"/>
    <w:semiHidden/>
    <w:rsid w:val="00603DE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A2301"/>
    <w:rPr>
      <w:color w:val="800080" w:themeColor="followedHyperlink"/>
      <w:u w:val="single"/>
    </w:rPr>
  </w:style>
  <w:style w:type="character" w:customStyle="1" w:styleId="ListParagraphChar">
    <w:name w:val="List Paragraph Char"/>
    <w:basedOn w:val="DefaultParagraphFont"/>
    <w:link w:val="ListParagraph"/>
    <w:uiPriority w:val="1"/>
    <w:locked/>
    <w:rsid w:val="003F007D"/>
    <w:rPr>
      <w:sz w:val="24"/>
      <w:szCs w:val="24"/>
    </w:rPr>
  </w:style>
  <w:style w:type="paragraph" w:customStyle="1" w:styleId="content2">
    <w:name w:val="content2"/>
    <w:basedOn w:val="Normal"/>
    <w:rsid w:val="00F86B60"/>
    <w:pPr>
      <w:spacing w:before="100" w:beforeAutospacing="1" w:after="100" w:afterAutospacing="1"/>
    </w:pPr>
    <w:rPr>
      <w:rFonts w:ascii="Times New Roman" w:hAnsi="Times New Roman"/>
    </w:rPr>
  </w:style>
  <w:style w:type="paragraph" w:customStyle="1" w:styleId="incr1">
    <w:name w:val="incr1"/>
    <w:basedOn w:val="Normal"/>
    <w:rsid w:val="00F86B60"/>
    <w:pPr>
      <w:spacing w:before="100" w:beforeAutospacing="1" w:after="100" w:afterAutospacing="1"/>
    </w:pPr>
    <w:rPr>
      <w:rFonts w:ascii="Times New Roman" w:hAnsi="Times New Roman"/>
    </w:rPr>
  </w:style>
  <w:style w:type="character" w:customStyle="1" w:styleId="fontstyle01">
    <w:name w:val="fontstyle01"/>
    <w:basedOn w:val="DefaultParagraphFont"/>
    <w:rsid w:val="001252B0"/>
    <w:rPr>
      <w:rFonts w:ascii="Calibri" w:hAnsi="Calibri" w:cs="Calibri" w:hint="default"/>
      <w:b w:val="0"/>
      <w:bCs w:val="0"/>
      <w:i w:val="0"/>
      <w:iCs w:val="0"/>
      <w:color w:val="000000"/>
      <w:sz w:val="22"/>
      <w:szCs w:val="22"/>
    </w:rPr>
  </w:style>
  <w:style w:type="paragraph" w:customStyle="1" w:styleId="List1">
    <w:name w:val="List 1"/>
    <w:basedOn w:val="Normal"/>
    <w:uiPriority w:val="5"/>
    <w:qFormat/>
    <w:rsid w:val="00CD59EB"/>
    <w:pPr>
      <w:spacing w:before="40" w:after="120"/>
      <w:ind w:left="475" w:hanging="475"/>
    </w:pPr>
    <w:rPr>
      <w:rFonts w:ascii="Calibri" w:eastAsiaTheme="minorHAnsi" w:hAnsi="Calibri" w:cstheme="minorBidi"/>
      <w:sz w:val="20"/>
    </w:rPr>
  </w:style>
  <w:style w:type="paragraph" w:styleId="List2">
    <w:name w:val="List 2"/>
    <w:basedOn w:val="List1"/>
    <w:uiPriority w:val="5"/>
    <w:qFormat/>
    <w:rsid w:val="00CD59EB"/>
    <w:pPr>
      <w:ind w:left="950"/>
    </w:pPr>
  </w:style>
  <w:style w:type="paragraph" w:customStyle="1" w:styleId="incr2">
    <w:name w:val="incr2"/>
    <w:basedOn w:val="Normal"/>
    <w:rsid w:val="00CD59E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7567">
      <w:bodyDiv w:val="1"/>
      <w:marLeft w:val="0"/>
      <w:marRight w:val="0"/>
      <w:marTop w:val="0"/>
      <w:marBottom w:val="0"/>
      <w:divBdr>
        <w:top w:val="none" w:sz="0" w:space="0" w:color="auto"/>
        <w:left w:val="none" w:sz="0" w:space="0" w:color="auto"/>
        <w:bottom w:val="none" w:sz="0" w:space="0" w:color="auto"/>
        <w:right w:val="none" w:sz="0" w:space="0" w:color="auto"/>
      </w:divBdr>
    </w:div>
    <w:div w:id="241303943">
      <w:bodyDiv w:val="1"/>
      <w:marLeft w:val="0"/>
      <w:marRight w:val="0"/>
      <w:marTop w:val="0"/>
      <w:marBottom w:val="0"/>
      <w:divBdr>
        <w:top w:val="none" w:sz="0" w:space="0" w:color="auto"/>
        <w:left w:val="none" w:sz="0" w:space="0" w:color="auto"/>
        <w:bottom w:val="none" w:sz="0" w:space="0" w:color="auto"/>
        <w:right w:val="none" w:sz="0" w:space="0" w:color="auto"/>
      </w:divBdr>
    </w:div>
    <w:div w:id="604922718">
      <w:bodyDiv w:val="1"/>
      <w:marLeft w:val="0"/>
      <w:marRight w:val="0"/>
      <w:marTop w:val="0"/>
      <w:marBottom w:val="0"/>
      <w:divBdr>
        <w:top w:val="none" w:sz="0" w:space="0" w:color="auto"/>
        <w:left w:val="none" w:sz="0" w:space="0" w:color="auto"/>
        <w:bottom w:val="none" w:sz="0" w:space="0" w:color="auto"/>
        <w:right w:val="none" w:sz="0" w:space="0" w:color="auto"/>
      </w:divBdr>
    </w:div>
    <w:div w:id="643583865">
      <w:bodyDiv w:val="1"/>
      <w:marLeft w:val="0"/>
      <w:marRight w:val="0"/>
      <w:marTop w:val="0"/>
      <w:marBottom w:val="0"/>
      <w:divBdr>
        <w:top w:val="none" w:sz="0" w:space="0" w:color="auto"/>
        <w:left w:val="none" w:sz="0" w:space="0" w:color="auto"/>
        <w:bottom w:val="none" w:sz="0" w:space="0" w:color="auto"/>
        <w:right w:val="none" w:sz="0" w:space="0" w:color="auto"/>
      </w:divBdr>
    </w:div>
    <w:div w:id="888145851">
      <w:bodyDiv w:val="1"/>
      <w:marLeft w:val="0"/>
      <w:marRight w:val="0"/>
      <w:marTop w:val="0"/>
      <w:marBottom w:val="0"/>
      <w:divBdr>
        <w:top w:val="none" w:sz="0" w:space="0" w:color="auto"/>
        <w:left w:val="none" w:sz="0" w:space="0" w:color="auto"/>
        <w:bottom w:val="none" w:sz="0" w:space="0" w:color="auto"/>
        <w:right w:val="none" w:sz="0" w:space="0" w:color="auto"/>
      </w:divBdr>
    </w:div>
    <w:div w:id="1010181657">
      <w:bodyDiv w:val="1"/>
      <w:marLeft w:val="0"/>
      <w:marRight w:val="0"/>
      <w:marTop w:val="0"/>
      <w:marBottom w:val="0"/>
      <w:divBdr>
        <w:top w:val="none" w:sz="0" w:space="0" w:color="auto"/>
        <w:left w:val="none" w:sz="0" w:space="0" w:color="auto"/>
        <w:bottom w:val="none" w:sz="0" w:space="0" w:color="auto"/>
        <w:right w:val="none" w:sz="0" w:space="0" w:color="auto"/>
      </w:divBdr>
    </w:div>
    <w:div w:id="1033113321">
      <w:bodyDiv w:val="1"/>
      <w:marLeft w:val="0"/>
      <w:marRight w:val="0"/>
      <w:marTop w:val="0"/>
      <w:marBottom w:val="0"/>
      <w:divBdr>
        <w:top w:val="none" w:sz="0" w:space="0" w:color="auto"/>
        <w:left w:val="none" w:sz="0" w:space="0" w:color="auto"/>
        <w:bottom w:val="none" w:sz="0" w:space="0" w:color="auto"/>
        <w:right w:val="none" w:sz="0" w:space="0" w:color="auto"/>
      </w:divBdr>
    </w:div>
    <w:div w:id="1209687694">
      <w:bodyDiv w:val="1"/>
      <w:marLeft w:val="0"/>
      <w:marRight w:val="0"/>
      <w:marTop w:val="0"/>
      <w:marBottom w:val="0"/>
      <w:divBdr>
        <w:top w:val="none" w:sz="0" w:space="0" w:color="auto"/>
        <w:left w:val="none" w:sz="0" w:space="0" w:color="auto"/>
        <w:bottom w:val="none" w:sz="0" w:space="0" w:color="auto"/>
        <w:right w:val="none" w:sz="0" w:space="0" w:color="auto"/>
      </w:divBdr>
    </w:div>
    <w:div w:id="1363633837">
      <w:bodyDiv w:val="1"/>
      <w:marLeft w:val="0"/>
      <w:marRight w:val="0"/>
      <w:marTop w:val="0"/>
      <w:marBottom w:val="0"/>
      <w:divBdr>
        <w:top w:val="none" w:sz="0" w:space="0" w:color="auto"/>
        <w:left w:val="none" w:sz="0" w:space="0" w:color="auto"/>
        <w:bottom w:val="none" w:sz="0" w:space="0" w:color="auto"/>
        <w:right w:val="none" w:sz="0" w:space="0" w:color="auto"/>
      </w:divBdr>
    </w:div>
    <w:div w:id="1373072793">
      <w:bodyDiv w:val="1"/>
      <w:marLeft w:val="0"/>
      <w:marRight w:val="0"/>
      <w:marTop w:val="0"/>
      <w:marBottom w:val="0"/>
      <w:divBdr>
        <w:top w:val="none" w:sz="0" w:space="0" w:color="auto"/>
        <w:left w:val="none" w:sz="0" w:space="0" w:color="auto"/>
        <w:bottom w:val="none" w:sz="0" w:space="0" w:color="auto"/>
        <w:right w:val="none" w:sz="0" w:space="0" w:color="auto"/>
      </w:divBdr>
    </w:div>
    <w:div w:id="1647120774">
      <w:bodyDiv w:val="1"/>
      <w:marLeft w:val="0"/>
      <w:marRight w:val="0"/>
      <w:marTop w:val="0"/>
      <w:marBottom w:val="0"/>
      <w:divBdr>
        <w:top w:val="none" w:sz="0" w:space="0" w:color="auto"/>
        <w:left w:val="none" w:sz="0" w:space="0" w:color="auto"/>
        <w:bottom w:val="none" w:sz="0" w:space="0" w:color="auto"/>
        <w:right w:val="none" w:sz="0" w:space="0" w:color="auto"/>
      </w:divBdr>
    </w:div>
    <w:div w:id="16850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0o9ICzpyx3IMRRPKuXh9T9lkEz?domain=olis.oregonlegislature.gov" TargetMode="External"/><Relationship Id="rId13" Type="http://schemas.openxmlformats.org/officeDocument/2006/relationships/hyperlink" Target="https://library.municode.com/or/tualatin/codes/development_code?nodeId=THDECOTUOR_CH32PR_TDC_32.220TYIIPRADRE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municode.com/or/tualatin/codes/development_code?nodeId=THDECOTUOR_CH32PR_TDC_32.220TYIIPRADREN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or/tualatin/codes/development_code?nodeId=THDECOTUOR_CH33APAPCR_TDC_33.120VAMIV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brary.municode.com/or/tualatin/codes/development_code?nodeId=THDECOTUOR_CH32PR_TDC_32.230TYIIPRQUDIREUBH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l.us.m.mimecastprotect.com/s/EnNQCADg9VhN99mjT9ijTGXwAj?domain=public.govdelivery.com" TargetMode="External"/><Relationship Id="rId14" Type="http://schemas.openxmlformats.org/officeDocument/2006/relationships/hyperlink" Target="https://library.municode.com/or/tualatin/codes/development_code?nodeId=THDECOTUOR_CH33APAPCR_TDC_33.120VAMIV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ABD0-CD78-430A-B8D2-BD72A4F7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2</Pages>
  <Words>919</Words>
  <Characters>4904</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Michaels Printing</Company>
  <LinksUpToDate>false</LinksUpToDate>
  <CharactersWithSpaces>5796</CharactersWithSpaces>
  <SharedDoc>false</SharedDoc>
  <HLinks>
    <vt:vector size="18" baseType="variant">
      <vt:variant>
        <vt:i4>6553720</vt:i4>
      </vt:variant>
      <vt:variant>
        <vt:i4>1027</vt:i4>
      </vt:variant>
      <vt:variant>
        <vt:i4>1025</vt:i4>
      </vt:variant>
      <vt:variant>
        <vt:i4>1</vt:i4>
      </vt:variant>
      <vt:variant>
        <vt:lpwstr>CoTlogo</vt:lpwstr>
      </vt:variant>
      <vt:variant>
        <vt:lpwstr/>
      </vt:variant>
      <vt:variant>
        <vt:i4>3932283</vt:i4>
      </vt:variant>
      <vt:variant>
        <vt:i4>1036</vt:i4>
      </vt:variant>
      <vt:variant>
        <vt:i4>1026</vt:i4>
      </vt:variant>
      <vt:variant>
        <vt:i4>1</vt:i4>
      </vt:variant>
      <vt:variant>
        <vt:lpwstr>CoT Header</vt:lpwstr>
      </vt:variant>
      <vt:variant>
        <vt:lpwstr/>
      </vt:variant>
      <vt:variant>
        <vt:i4>2818150</vt:i4>
      </vt:variant>
      <vt:variant>
        <vt:i4>1086</vt:i4>
      </vt:variant>
      <vt:variant>
        <vt:i4>1027</vt:i4>
      </vt:variant>
      <vt:variant>
        <vt:i4>1</vt:i4>
      </vt:variant>
      <vt:variant>
        <vt:lpwstr>lower 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Clark</dc:creator>
  <cp:lastModifiedBy>Madeleine Nelson</cp:lastModifiedBy>
  <cp:revision>176</cp:revision>
  <cp:lastPrinted>2024-08-06T17:34:00Z</cp:lastPrinted>
  <dcterms:created xsi:type="dcterms:W3CDTF">2022-06-01T22:01:00Z</dcterms:created>
  <dcterms:modified xsi:type="dcterms:W3CDTF">2025-02-24T16:39:00Z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312f8ca7424313674d6871832b177f06092e29a269e33a1f8c4c4f38d908f0f9</vt:lpwstr>
  </property>
</Properties>
</file>