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1E9FD8" w14:textId="6B754824" w:rsidR="00453D29" w:rsidRPr="00214404" w:rsidRDefault="00453D29" w:rsidP="00307C35">
      <w:pPr>
        <w:suppressAutoHyphens/>
        <w:rPr>
          <w:rFonts w:asciiTheme="minorHAnsi" w:hAnsiTheme="minorHAnsi" w:cstheme="minorHAnsi"/>
          <w:sz w:val="26"/>
          <w:szCs w:val="26"/>
        </w:rPr>
      </w:pPr>
    </w:p>
    <w:p w14:paraId="04767B08" w14:textId="0B319B0F" w:rsidR="00875FAA" w:rsidRPr="00214404" w:rsidRDefault="00CF70AA" w:rsidP="00875FAA">
      <w:pPr>
        <w:suppressAutoHyphens/>
        <w:jc w:val="center"/>
        <w:rPr>
          <w:rFonts w:ascii="Gotham Condensed Bold" w:hAnsi="Gotham Condensed Bold" w:cs="Calibri"/>
          <w:sz w:val="40"/>
          <w:szCs w:val="40"/>
        </w:rPr>
      </w:pPr>
      <w:r w:rsidRPr="00214404">
        <w:rPr>
          <w:rFonts w:ascii="Gotham Condensed Bold" w:hAnsi="Gotham Condensed Bold" w:cs="Calibri"/>
          <w:sz w:val="40"/>
          <w:szCs w:val="40"/>
        </w:rPr>
        <w:t>ANALYSIS AND FINDINGS</w:t>
      </w:r>
    </w:p>
    <w:p w14:paraId="6BC0CCD9" w14:textId="39D5FC54" w:rsidR="00885343" w:rsidRPr="00214404" w:rsidRDefault="00FF00AD" w:rsidP="00875FAA">
      <w:pPr>
        <w:spacing w:after="360"/>
        <w:jc w:val="center"/>
        <w:rPr>
          <w:rFonts w:cs="Calibri"/>
          <w:color w:val="000000"/>
        </w:rPr>
      </w:pPr>
      <w:r w:rsidRPr="00FF00AD">
        <w:rPr>
          <w:rFonts w:cs="Calibri"/>
          <w:szCs w:val="24"/>
        </w:rPr>
        <w:t>December 18</w:t>
      </w:r>
      <w:r w:rsidR="0063685F" w:rsidRPr="00FF00AD">
        <w:rPr>
          <w:rFonts w:cs="Calibri"/>
          <w:szCs w:val="24"/>
        </w:rPr>
        <w:t>, 2024</w:t>
      </w:r>
    </w:p>
    <w:p w14:paraId="5E7F9CFD" w14:textId="0C22FFE3" w:rsidR="00885343" w:rsidRPr="00214404" w:rsidRDefault="00AB0DA6" w:rsidP="00AB0DA6">
      <w:pPr>
        <w:pBdr>
          <w:top w:val="single" w:sz="4" w:space="1" w:color="auto"/>
        </w:pBdr>
        <w:ind w:left="2340" w:hanging="2340"/>
        <w:rPr>
          <w:rFonts w:cs="Calibri"/>
          <w:color w:val="000000"/>
          <w:szCs w:val="22"/>
        </w:rPr>
      </w:pPr>
      <w:r w:rsidRPr="00214404">
        <w:rPr>
          <w:rFonts w:cs="Calibri"/>
          <w:color w:val="000000"/>
          <w:szCs w:val="22"/>
        </w:rPr>
        <w:t>Case #:</w:t>
      </w:r>
      <w:r w:rsidRPr="00214404">
        <w:rPr>
          <w:rFonts w:cs="Calibri"/>
          <w:color w:val="000000"/>
          <w:szCs w:val="22"/>
        </w:rPr>
        <w:tab/>
      </w:r>
      <w:r w:rsidR="00307C35">
        <w:rPr>
          <w:rFonts w:cs="Calibri"/>
          <w:color w:val="000000"/>
          <w:szCs w:val="22"/>
        </w:rPr>
        <w:t>SVAR 24-0001</w:t>
      </w:r>
    </w:p>
    <w:p w14:paraId="60B66F00" w14:textId="33C9BC1D" w:rsidR="00885343" w:rsidRPr="00214404" w:rsidRDefault="00885343" w:rsidP="00AB0DA6">
      <w:pPr>
        <w:pBdr>
          <w:top w:val="single" w:sz="4" w:space="1" w:color="auto"/>
        </w:pBdr>
        <w:ind w:left="2340" w:hanging="2340"/>
        <w:rPr>
          <w:rFonts w:cs="Calibri"/>
          <w:color w:val="000000"/>
          <w:szCs w:val="22"/>
        </w:rPr>
      </w:pPr>
      <w:r w:rsidRPr="00214404">
        <w:rPr>
          <w:rFonts w:cs="Calibri"/>
          <w:color w:val="000000"/>
          <w:szCs w:val="22"/>
        </w:rPr>
        <w:t>Project:</w:t>
      </w:r>
      <w:r w:rsidRPr="00214404">
        <w:rPr>
          <w:rFonts w:cs="Calibri"/>
          <w:color w:val="000000"/>
          <w:szCs w:val="22"/>
        </w:rPr>
        <w:tab/>
      </w:r>
      <w:r w:rsidR="00307C35">
        <w:rPr>
          <w:rFonts w:cs="Calibri"/>
          <w:color w:val="000000"/>
          <w:szCs w:val="22"/>
        </w:rPr>
        <w:t>Cabela’s/Bass Pro Shops</w:t>
      </w:r>
      <w:r w:rsidR="0063685F">
        <w:rPr>
          <w:rFonts w:cs="Calibri"/>
          <w:color w:val="000000"/>
          <w:szCs w:val="22"/>
        </w:rPr>
        <w:t xml:space="preserve"> Sign Variance </w:t>
      </w:r>
    </w:p>
    <w:p w14:paraId="51CD2BB7" w14:textId="0609BA5B" w:rsidR="00885343" w:rsidRPr="00214404" w:rsidRDefault="008C2117" w:rsidP="00AB0DA6">
      <w:pPr>
        <w:pBdr>
          <w:top w:val="single" w:sz="4" w:space="1" w:color="auto"/>
        </w:pBdr>
        <w:ind w:left="2340" w:hanging="2340"/>
        <w:rPr>
          <w:rFonts w:cs="Calibri"/>
          <w:color w:val="000000"/>
          <w:szCs w:val="22"/>
        </w:rPr>
      </w:pPr>
      <w:r w:rsidRPr="00214404">
        <w:rPr>
          <w:rFonts w:cs="Calibri"/>
          <w:color w:val="000000"/>
          <w:szCs w:val="22"/>
        </w:rPr>
        <w:t>L</w:t>
      </w:r>
      <w:r w:rsidR="00885343" w:rsidRPr="00214404">
        <w:rPr>
          <w:rFonts w:cs="Calibri"/>
          <w:color w:val="000000"/>
          <w:szCs w:val="22"/>
        </w:rPr>
        <w:t>ocation:</w:t>
      </w:r>
      <w:r w:rsidR="00885343" w:rsidRPr="00214404">
        <w:rPr>
          <w:rFonts w:cs="Calibri"/>
          <w:color w:val="000000"/>
          <w:szCs w:val="22"/>
        </w:rPr>
        <w:tab/>
      </w:r>
      <w:r w:rsidR="00307C35">
        <w:rPr>
          <w:rFonts w:cs="Calibri"/>
          <w:color w:val="000000"/>
          <w:szCs w:val="22"/>
        </w:rPr>
        <w:t>7555 SW Nyberg Street</w:t>
      </w:r>
      <w:r w:rsidR="00307C35">
        <w:rPr>
          <w:rFonts w:cstheme="minorHAnsi"/>
          <w:color w:val="000000"/>
        </w:rPr>
        <w:t xml:space="preserve"> (Tax Lot:</w:t>
      </w:r>
      <w:r w:rsidR="001A13A1" w:rsidRPr="00214404">
        <w:rPr>
          <w:rFonts w:cstheme="minorHAnsi"/>
          <w:color w:val="000000"/>
        </w:rPr>
        <w:t xml:space="preserve"> </w:t>
      </w:r>
      <w:r w:rsidR="00307C35">
        <w:rPr>
          <w:rFonts w:cstheme="minorHAnsi"/>
          <w:color w:val="000000"/>
        </w:rPr>
        <w:t>2S124A003100)</w:t>
      </w:r>
    </w:p>
    <w:p w14:paraId="4712E7B8" w14:textId="256FCE95" w:rsidR="00812CB0" w:rsidRPr="00214404" w:rsidRDefault="00812CB0" w:rsidP="00812CB0">
      <w:pPr>
        <w:pBdr>
          <w:top w:val="single" w:sz="4" w:space="1" w:color="auto"/>
        </w:pBdr>
        <w:ind w:left="2340" w:hanging="2340"/>
        <w:rPr>
          <w:rFonts w:cs="Calibri"/>
          <w:color w:val="000000"/>
          <w:szCs w:val="22"/>
        </w:rPr>
      </w:pPr>
      <w:r w:rsidRPr="00214404">
        <w:rPr>
          <w:rFonts w:cs="Calibri"/>
          <w:color w:val="000000"/>
          <w:szCs w:val="22"/>
        </w:rPr>
        <w:t>Applicant</w:t>
      </w:r>
      <w:r w:rsidR="00EE4D6A" w:rsidRPr="00214404">
        <w:rPr>
          <w:rFonts w:cs="Calibri"/>
          <w:color w:val="000000"/>
          <w:szCs w:val="22"/>
        </w:rPr>
        <w:t>:</w:t>
      </w:r>
      <w:r w:rsidRPr="00214404">
        <w:rPr>
          <w:rFonts w:cs="Calibri"/>
          <w:color w:val="000000"/>
          <w:szCs w:val="22"/>
        </w:rPr>
        <w:tab/>
      </w:r>
      <w:r w:rsidR="00307C35">
        <w:rPr>
          <w:rFonts w:cs="Calibri"/>
          <w:color w:val="000000"/>
          <w:szCs w:val="22"/>
        </w:rPr>
        <w:t>Tony McCormick, Meyer Sign Co. of Oregon</w:t>
      </w:r>
      <w:r w:rsidR="009D6CE4">
        <w:rPr>
          <w:rFonts w:cs="Calibri"/>
          <w:color w:val="000000"/>
          <w:szCs w:val="22"/>
        </w:rPr>
        <w:t>, Inc.</w:t>
      </w:r>
    </w:p>
    <w:p w14:paraId="3B504853" w14:textId="34C5F80E" w:rsidR="00812CB0" w:rsidRPr="00214404" w:rsidRDefault="00812CB0" w:rsidP="00812CB0">
      <w:pPr>
        <w:ind w:left="2340" w:hanging="2340"/>
        <w:rPr>
          <w:rFonts w:cs="Calibri"/>
          <w:color w:val="000000"/>
          <w:szCs w:val="22"/>
        </w:rPr>
      </w:pPr>
    </w:p>
    <w:p w14:paraId="11F360C3" w14:textId="7FE79C35" w:rsidR="00812CB0" w:rsidRPr="00214404" w:rsidRDefault="00812CB0" w:rsidP="00812CB0">
      <w:pPr>
        <w:pBdr>
          <w:top w:val="single" w:sz="4" w:space="1" w:color="auto"/>
        </w:pBdr>
        <w:ind w:left="2340" w:hanging="2340"/>
        <w:rPr>
          <w:rFonts w:cs="Calibri"/>
          <w:color w:val="000000"/>
        </w:rPr>
      </w:pPr>
    </w:p>
    <w:p w14:paraId="2120BA79" w14:textId="0D83B9B4" w:rsidR="005964C2" w:rsidRPr="005964C2" w:rsidRDefault="009A36CC" w:rsidP="005964C2">
      <w:pPr>
        <w:pStyle w:val="Heading1"/>
        <w:spacing w:after="240"/>
        <w:rPr>
          <w:rFonts w:ascii="Calibri" w:hAnsi="Calibri" w:cs="Calibri"/>
        </w:rPr>
      </w:pPr>
      <w:bookmarkStart w:id="0" w:name="_Toc56073797"/>
      <w:r w:rsidRPr="00214404">
        <w:rPr>
          <w:rFonts w:ascii="Calibri" w:hAnsi="Calibri" w:cs="Calibri"/>
          <w:b w:val="0"/>
        </w:rPr>
        <w:t>I.</w:t>
      </w:r>
      <w:r w:rsidRPr="00214404">
        <w:rPr>
          <w:rFonts w:ascii="Calibri" w:hAnsi="Calibri" w:cs="Calibri"/>
        </w:rPr>
        <w:tab/>
        <w:t>INTRODUCTION</w:t>
      </w:r>
      <w:bookmarkEnd w:id="0"/>
    </w:p>
    <w:p w14:paraId="36AFBFBC" w14:textId="60BF8915" w:rsidR="000B44CA" w:rsidRPr="00214404" w:rsidRDefault="000B44CA" w:rsidP="004476D6">
      <w:pPr>
        <w:pStyle w:val="Heading2"/>
      </w:pPr>
      <w:bookmarkStart w:id="1" w:name="_Toc56073798"/>
      <w:r w:rsidRPr="00214404">
        <w:t>Applicable Criteria</w:t>
      </w:r>
      <w:bookmarkEnd w:id="1"/>
    </w:p>
    <w:p w14:paraId="17ABDACF" w14:textId="7829FF5D" w:rsidR="003F4957" w:rsidRPr="003B1C75" w:rsidRDefault="000B44CA" w:rsidP="000B44CA">
      <w:pPr>
        <w:rPr>
          <w:rFonts w:cs="Calibri"/>
          <w:szCs w:val="22"/>
        </w:rPr>
      </w:pPr>
      <w:r w:rsidRPr="00214404">
        <w:rPr>
          <w:rFonts w:cs="Calibri"/>
          <w:szCs w:val="22"/>
        </w:rPr>
        <w:t xml:space="preserve">The </w:t>
      </w:r>
      <w:r w:rsidR="00E5346A">
        <w:rPr>
          <w:rFonts w:cs="Calibri"/>
          <w:szCs w:val="22"/>
        </w:rPr>
        <w:t>following c</w:t>
      </w:r>
      <w:r w:rsidRPr="003B1C75">
        <w:rPr>
          <w:rFonts w:cs="Calibri"/>
          <w:szCs w:val="22"/>
        </w:rPr>
        <w:t xml:space="preserve">hapters of </w:t>
      </w:r>
      <w:r w:rsidR="007644A9" w:rsidRPr="003B1C75">
        <w:rPr>
          <w:rFonts w:cs="Calibri"/>
          <w:szCs w:val="22"/>
        </w:rPr>
        <w:t>the</w:t>
      </w:r>
      <w:r w:rsidRPr="003B1C75">
        <w:rPr>
          <w:rFonts w:cs="Calibri"/>
          <w:szCs w:val="22"/>
        </w:rPr>
        <w:t xml:space="preserve"> Tualatin Development Code (TDC) are applicable to the subject proposal: </w:t>
      </w:r>
    </w:p>
    <w:p w14:paraId="2FC5AE7A" w14:textId="50A93DE0" w:rsidR="00633A7B" w:rsidRPr="003B1C75" w:rsidRDefault="00633A7B" w:rsidP="00AC3716">
      <w:pPr>
        <w:pStyle w:val="ListParagraph"/>
        <w:numPr>
          <w:ilvl w:val="0"/>
          <w:numId w:val="3"/>
        </w:numPr>
        <w:rPr>
          <w:rFonts w:cs="Calibri"/>
          <w:szCs w:val="22"/>
        </w:rPr>
      </w:pPr>
      <w:r w:rsidRPr="003B1C75">
        <w:rPr>
          <w:rFonts w:cs="Calibri"/>
          <w:color w:val="000000"/>
          <w:szCs w:val="22"/>
        </w:rPr>
        <w:t>TDC 32: Procedures</w:t>
      </w:r>
    </w:p>
    <w:p w14:paraId="63D722A8" w14:textId="6A8FD0CE" w:rsidR="003F4957" w:rsidRPr="003B1C75" w:rsidRDefault="003F4957" w:rsidP="00AC3716">
      <w:pPr>
        <w:pStyle w:val="ListParagraph"/>
        <w:numPr>
          <w:ilvl w:val="0"/>
          <w:numId w:val="3"/>
        </w:numPr>
        <w:rPr>
          <w:rFonts w:cs="Calibri"/>
          <w:szCs w:val="22"/>
        </w:rPr>
      </w:pPr>
      <w:r w:rsidRPr="003B1C75">
        <w:rPr>
          <w:rFonts w:cs="Calibri"/>
          <w:color w:val="000000"/>
          <w:szCs w:val="22"/>
        </w:rPr>
        <w:t xml:space="preserve">TDC </w:t>
      </w:r>
      <w:r w:rsidR="003B1C75" w:rsidRPr="003B1C75">
        <w:rPr>
          <w:rFonts w:cs="Calibri"/>
          <w:color w:val="000000"/>
          <w:szCs w:val="22"/>
        </w:rPr>
        <w:t xml:space="preserve">33.080: Signs-Permits, Design Review, and Variances </w:t>
      </w:r>
    </w:p>
    <w:p w14:paraId="2A4A666C" w14:textId="5859CD60" w:rsidR="003B1C75" w:rsidRPr="00DF627A" w:rsidRDefault="003B1C75" w:rsidP="00DF627A">
      <w:pPr>
        <w:pStyle w:val="ListParagraph"/>
        <w:numPr>
          <w:ilvl w:val="0"/>
          <w:numId w:val="3"/>
        </w:numPr>
        <w:rPr>
          <w:rFonts w:cs="Calibri"/>
          <w:szCs w:val="22"/>
        </w:rPr>
      </w:pPr>
      <w:r w:rsidRPr="003B1C75">
        <w:rPr>
          <w:rFonts w:cs="Calibri"/>
          <w:color w:val="000000"/>
          <w:szCs w:val="22"/>
        </w:rPr>
        <w:t>TDC 38: Sign</w:t>
      </w:r>
      <w:r>
        <w:rPr>
          <w:rFonts w:cs="Calibri"/>
          <w:color w:val="000000"/>
          <w:szCs w:val="22"/>
        </w:rPr>
        <w:t xml:space="preserve"> </w:t>
      </w:r>
      <w:r w:rsidRPr="003B1C75">
        <w:rPr>
          <w:rFonts w:cs="Calibri"/>
          <w:color w:val="000000"/>
          <w:szCs w:val="22"/>
        </w:rPr>
        <w:t>Regulations</w:t>
      </w:r>
    </w:p>
    <w:p w14:paraId="6C408F28" w14:textId="35F2A049" w:rsidR="005964C2" w:rsidRDefault="00D12216" w:rsidP="005964C2">
      <w:pPr>
        <w:pStyle w:val="Heading2"/>
      </w:pPr>
      <w:bookmarkStart w:id="2" w:name="_Toc56073799"/>
      <w:r w:rsidRPr="00214404">
        <w:t>Project</w:t>
      </w:r>
      <w:r w:rsidR="00542E6A" w:rsidRPr="00214404">
        <w:t xml:space="preserve"> Description</w:t>
      </w:r>
      <w:bookmarkEnd w:id="2"/>
    </w:p>
    <w:p w14:paraId="084C4FB0" w14:textId="228FF1F0" w:rsidR="000F34C0" w:rsidRPr="000F34C0" w:rsidRDefault="005964C2" w:rsidP="005964C2">
      <w:pPr>
        <w:overflowPunct/>
        <w:textAlignment w:val="auto"/>
        <w:rPr>
          <w:rFonts w:asciiTheme="minorHAnsi" w:hAnsiTheme="minorHAnsi" w:cstheme="minorHAnsi"/>
          <w:szCs w:val="22"/>
        </w:rPr>
      </w:pPr>
      <w:r w:rsidRPr="003B1C75">
        <w:rPr>
          <w:rFonts w:asciiTheme="minorHAnsi" w:hAnsiTheme="minorHAnsi" w:cstheme="minorHAnsi"/>
          <w:szCs w:val="22"/>
        </w:rPr>
        <w:t xml:space="preserve">The applicant, Meyer Sign Co. of Oregon, Inc., </w:t>
      </w:r>
      <w:r>
        <w:rPr>
          <w:rFonts w:asciiTheme="minorHAnsi" w:hAnsiTheme="minorHAnsi" w:cstheme="minorHAnsi"/>
          <w:szCs w:val="22"/>
        </w:rPr>
        <w:t>on behalf of Nyberg Center Cal ꓲꓲ, LLC, requests approval of a sign variance at the Cabela’s/Bass Pro Shops retailer located at 7555 SW Nyberg Street (Tax Lot: 2S124A0</w:t>
      </w:r>
      <w:r w:rsidRPr="002E315D">
        <w:rPr>
          <w:rFonts w:asciiTheme="minorHAnsi" w:hAnsiTheme="minorHAnsi" w:cstheme="minorHAnsi"/>
          <w:szCs w:val="22"/>
        </w:rPr>
        <w:t>03100).</w:t>
      </w:r>
      <w:r w:rsidR="000F34C0" w:rsidRPr="002E315D">
        <w:rPr>
          <w:rFonts w:asciiTheme="minorHAnsi" w:hAnsiTheme="minorHAnsi" w:cstheme="minorHAnsi"/>
          <w:szCs w:val="22"/>
        </w:rPr>
        <w:t xml:space="preserve"> </w:t>
      </w:r>
      <w:r w:rsidR="000F34C0" w:rsidRPr="002E315D">
        <w:rPr>
          <w:bCs/>
          <w:iCs/>
        </w:rPr>
        <w:t>The proposal re</w:t>
      </w:r>
      <w:r w:rsidR="002E315D" w:rsidRPr="002E315D">
        <w:rPr>
          <w:bCs/>
          <w:iCs/>
        </w:rPr>
        <w:t>quests to place a total of 355.2</w:t>
      </w:r>
      <w:r w:rsidR="000F34C0" w:rsidRPr="002E315D">
        <w:rPr>
          <w:bCs/>
          <w:iCs/>
        </w:rPr>
        <w:t xml:space="preserve"> square feet of signage on the southern elevation to replace the existing 361.79 square feet of signage. The application also proposes to place a</w:t>
      </w:r>
      <w:r w:rsidR="002E315D" w:rsidRPr="002E315D">
        <w:rPr>
          <w:bCs/>
          <w:iCs/>
        </w:rPr>
        <w:t xml:space="preserve"> total of 150</w:t>
      </w:r>
      <w:r w:rsidR="000F34C0" w:rsidRPr="002E315D">
        <w:rPr>
          <w:bCs/>
          <w:iCs/>
        </w:rPr>
        <w:t xml:space="preserve"> square feet of signage on the eastern elevation to replace the existing 228 square feet of signage. The existing building is located on 22.74-acre site zoned Central Commercial (CC) and Office Commercial (C</w:t>
      </w:r>
      <w:r w:rsidR="000F34C0" w:rsidRPr="000F34C0">
        <w:rPr>
          <w:bCs/>
          <w:iCs/>
        </w:rPr>
        <w:t>O).</w:t>
      </w:r>
    </w:p>
    <w:p w14:paraId="60AEC5AF" w14:textId="77777777" w:rsidR="000F34C0" w:rsidRDefault="000F34C0" w:rsidP="005964C2">
      <w:pPr>
        <w:overflowPunct/>
        <w:textAlignment w:val="auto"/>
        <w:rPr>
          <w:rFonts w:asciiTheme="minorHAnsi" w:hAnsiTheme="minorHAnsi" w:cstheme="minorHAnsi"/>
          <w:szCs w:val="22"/>
        </w:rPr>
      </w:pPr>
    </w:p>
    <w:p w14:paraId="36217679" w14:textId="5CC981C6" w:rsidR="00126308" w:rsidRDefault="00126308" w:rsidP="00126308">
      <w:pPr>
        <w:overflowPunct/>
        <w:textAlignment w:val="auto"/>
        <w:rPr>
          <w:rFonts w:asciiTheme="minorHAnsi" w:hAnsiTheme="minorHAnsi" w:cstheme="minorHAnsi"/>
          <w:szCs w:val="22"/>
        </w:rPr>
      </w:pPr>
      <w:r>
        <w:rPr>
          <w:rFonts w:asciiTheme="minorHAnsi" w:hAnsiTheme="minorHAnsi" w:cstheme="minorHAnsi"/>
          <w:szCs w:val="22"/>
        </w:rPr>
        <w:t xml:space="preserve">The Central Commercial (CC) Planning District permits the following code standards for wall signs under </w:t>
      </w:r>
      <w:r w:rsidR="006F6C2B">
        <w:rPr>
          <w:rFonts w:asciiTheme="minorHAnsi" w:hAnsiTheme="minorHAnsi" w:cstheme="minorHAnsi"/>
          <w:szCs w:val="22"/>
        </w:rPr>
        <w:t>Tualatin Development Code (</w:t>
      </w:r>
      <w:r>
        <w:rPr>
          <w:rFonts w:asciiTheme="minorHAnsi" w:hAnsiTheme="minorHAnsi" w:cstheme="minorHAnsi"/>
          <w:szCs w:val="22"/>
        </w:rPr>
        <w:t>TDC</w:t>
      </w:r>
      <w:r w:rsidR="006F6C2B">
        <w:rPr>
          <w:rFonts w:asciiTheme="minorHAnsi" w:hAnsiTheme="minorHAnsi" w:cstheme="minorHAnsi"/>
          <w:szCs w:val="22"/>
        </w:rPr>
        <w:t>)</w:t>
      </w:r>
      <w:r>
        <w:rPr>
          <w:rFonts w:asciiTheme="minorHAnsi" w:hAnsiTheme="minorHAnsi" w:cstheme="minorHAnsi"/>
          <w:szCs w:val="22"/>
        </w:rPr>
        <w:t xml:space="preserve"> 38.220(1</w:t>
      </w:r>
      <w:proofErr w:type="gramStart"/>
      <w:r>
        <w:rPr>
          <w:rFonts w:asciiTheme="minorHAnsi" w:hAnsiTheme="minorHAnsi" w:cstheme="minorHAnsi"/>
          <w:szCs w:val="22"/>
        </w:rPr>
        <w:t>)(</w:t>
      </w:r>
      <w:proofErr w:type="gramEnd"/>
      <w:r>
        <w:rPr>
          <w:rFonts w:asciiTheme="minorHAnsi" w:hAnsiTheme="minorHAnsi" w:cstheme="minorHAnsi"/>
          <w:szCs w:val="22"/>
        </w:rPr>
        <w:t>d):</w:t>
      </w:r>
    </w:p>
    <w:p w14:paraId="3CCAE1F7" w14:textId="77777777" w:rsidR="00126308" w:rsidRDefault="00126308" w:rsidP="00126308">
      <w:pPr>
        <w:overflowPunct/>
        <w:textAlignment w:val="auto"/>
        <w:rPr>
          <w:rFonts w:asciiTheme="minorHAnsi" w:hAnsiTheme="minorHAnsi" w:cstheme="minorHAnsi"/>
          <w:szCs w:val="22"/>
        </w:rPr>
      </w:pPr>
    </w:p>
    <w:p w14:paraId="43144021" w14:textId="349001CD" w:rsidR="00126308" w:rsidRDefault="00126308" w:rsidP="00126308">
      <w:pPr>
        <w:pStyle w:val="List2"/>
        <w:ind w:left="0" w:firstLine="0"/>
      </w:pPr>
      <w:r>
        <w:t>(d)</w:t>
      </w:r>
      <w:r>
        <w:tab/>
        <w:t xml:space="preserve">Wall Signs Are Permitted. If used, the following standards apply: </w:t>
      </w:r>
    </w:p>
    <w:p w14:paraId="7AED02AF" w14:textId="4CCC9121" w:rsidR="00126308" w:rsidRPr="00760EED" w:rsidRDefault="00126308" w:rsidP="00126308">
      <w:pPr>
        <w:pStyle w:val="List3"/>
      </w:pPr>
      <w:r>
        <w:t>(</w:t>
      </w:r>
      <w:proofErr w:type="spellStart"/>
      <w:r>
        <w:t>i</w:t>
      </w:r>
      <w:proofErr w:type="spellEnd"/>
      <w:r>
        <w:t>)</w:t>
      </w:r>
      <w:r>
        <w:tab/>
        <w:t>Number: One on each owned or leased wall not to exceed four walls of a building. For walls not oriented toward and not located within 150 feet of the Wetland Protected Area or a Natural Resource Protection Overlay District (NRPO) as shown on Map 72-1, two wall signs are allowed on an owned or leased wall of</w:t>
      </w:r>
      <w:r w:rsidRPr="00760EED">
        <w:t xml:space="preserve"> 4,000-4,999.99 square feet provided the distance between the two signs is greater than 25 feet, and three wall signs on an owned or leased wall equal to or greater than 5,000 square feet. </w:t>
      </w:r>
    </w:p>
    <w:p w14:paraId="5EE8753B" w14:textId="77777777" w:rsidR="00126308" w:rsidRDefault="00126308" w:rsidP="00126308">
      <w:pPr>
        <w:pStyle w:val="List3"/>
      </w:pPr>
    </w:p>
    <w:p w14:paraId="718CE576" w14:textId="618E8142" w:rsidR="00126308" w:rsidRDefault="00126308" w:rsidP="00126308">
      <w:pPr>
        <w:pStyle w:val="List3"/>
      </w:pPr>
      <w:r>
        <w:t>(ii)</w:t>
      </w:r>
      <w:r>
        <w:tab/>
        <w:t xml:space="preserve">Number of Sides: No more than one. </w:t>
      </w:r>
    </w:p>
    <w:p w14:paraId="3301B08C" w14:textId="77777777" w:rsidR="00126308" w:rsidRDefault="00126308" w:rsidP="00126308">
      <w:pPr>
        <w:pStyle w:val="List3"/>
      </w:pPr>
    </w:p>
    <w:p w14:paraId="454BE3AB" w14:textId="7AEEEA76" w:rsidR="00126308" w:rsidRDefault="00126308" w:rsidP="00126308">
      <w:pPr>
        <w:pStyle w:val="List3"/>
      </w:pPr>
      <w:proofErr w:type="gramStart"/>
      <w:r>
        <w:lastRenderedPageBreak/>
        <w:t>(iii)</w:t>
      </w:r>
      <w:r>
        <w:tab/>
        <w:t>Height Above Grade</w:t>
      </w:r>
      <w:proofErr w:type="gramEnd"/>
      <w:r>
        <w:t xml:space="preserve">: No higher than the height of the sign band on the owned or leased space. </w:t>
      </w:r>
    </w:p>
    <w:p w14:paraId="3AA5B02C" w14:textId="77777777" w:rsidR="00126308" w:rsidRDefault="00126308" w:rsidP="00126308">
      <w:pPr>
        <w:pStyle w:val="List3"/>
      </w:pPr>
    </w:p>
    <w:p w14:paraId="0B69DE15" w14:textId="239EE8EB" w:rsidR="00126308" w:rsidRDefault="00126308" w:rsidP="00126308">
      <w:pPr>
        <w:pStyle w:val="List3"/>
        <w:rPr>
          <w:b/>
        </w:rPr>
      </w:pPr>
      <w:r>
        <w:t>(iv)</w:t>
      </w:r>
      <w:r>
        <w:tab/>
        <w:t>Height of Sign Fa</w:t>
      </w:r>
      <w:r w:rsidRPr="00760EED">
        <w:t xml:space="preserve">ce: No higher than four feet provided no letter or number (does not include logos, caricatures, scenes, non-letters and non-numerical symbols) shall be more than two feet when erected on owned or leased walls whose area is less than 4,000 square feet, and no higher than four feet for letters, numbers, logos, caricatures, scenes and symbols when erected on owned or leased walls equal to or greater than 4,000 square feet. If a sign's square footage is less than ½ the maximum area allowed, then the height of the sign can be doubled. If the sign height is doubled, the height of any logo, symbols, caricatures or scenes may be up to five feet. </w:t>
      </w:r>
    </w:p>
    <w:p w14:paraId="225A437C" w14:textId="77777777" w:rsidR="00126308" w:rsidRDefault="00126308" w:rsidP="00126308">
      <w:pPr>
        <w:pStyle w:val="List3"/>
      </w:pPr>
    </w:p>
    <w:p w14:paraId="77797FA0" w14:textId="03511AD6" w:rsidR="00126308" w:rsidRDefault="00126308" w:rsidP="00126308">
      <w:pPr>
        <w:pStyle w:val="List3"/>
      </w:pPr>
      <w:r>
        <w:t>(v)</w:t>
      </w:r>
      <w:r>
        <w:tab/>
        <w:t xml:space="preserve">Area: For owned or leased walls whose area is 0 to 400 square feet, a sign area of at least 24 square feet or ten percent of the wall area is allowed, whichever is greater. For walls whose area is 400 to 3,999.9 square feet, a sign area of no more than 40 square feet is allowed. For walls not oriented toward and not located within 150 feet of the Wetland Protected Area or a NRPO District as shown on Map 72-1, a total sign area of up to 100 square feet is allowed for a wall 4,000-4,999.9 square feet </w:t>
      </w:r>
      <w:r w:rsidRPr="00760EED">
        <w:t xml:space="preserve">provided that when two wall signs are erected neither sign is larger than 75 square feet, and for walls equal to or greater than 5,000 square feet, a sign area of up to 150 square feet is allowed. </w:t>
      </w:r>
    </w:p>
    <w:p w14:paraId="597F3977" w14:textId="77777777" w:rsidR="00126308" w:rsidRDefault="00126308" w:rsidP="00126308">
      <w:pPr>
        <w:pStyle w:val="List3"/>
      </w:pPr>
    </w:p>
    <w:p w14:paraId="0B221F94" w14:textId="0841B5E3" w:rsidR="00126308" w:rsidRDefault="00126308" w:rsidP="00126308">
      <w:pPr>
        <w:pStyle w:val="List3"/>
      </w:pPr>
      <w:proofErr w:type="gramStart"/>
      <w:r>
        <w:t>(vi)</w:t>
      </w:r>
      <w:r>
        <w:tab/>
        <w:t>Illumination</w:t>
      </w:r>
      <w:proofErr w:type="gramEnd"/>
      <w:r>
        <w:t xml:space="preserve">: Direct, indirect or internal. </w:t>
      </w:r>
    </w:p>
    <w:p w14:paraId="5BEB866D" w14:textId="77777777" w:rsidR="00126308" w:rsidRDefault="00126308" w:rsidP="00126308">
      <w:pPr>
        <w:pStyle w:val="List3"/>
      </w:pPr>
    </w:p>
    <w:p w14:paraId="37222D62" w14:textId="77777777" w:rsidR="00126308" w:rsidRDefault="00126308" w:rsidP="00126308">
      <w:pPr>
        <w:pStyle w:val="List3"/>
      </w:pPr>
      <w:r>
        <w:t>(vii)</w:t>
      </w:r>
      <w:r>
        <w:tab/>
        <w:t xml:space="preserve">Mechanical </w:t>
      </w:r>
      <w:proofErr w:type="spellStart"/>
      <w:r>
        <w:t>Readerboard</w:t>
      </w:r>
      <w:proofErr w:type="spellEnd"/>
      <w:r>
        <w:t xml:space="preserve">: For churches, cinemas and theaters the sign may be a mechanical </w:t>
      </w:r>
      <w:proofErr w:type="spellStart"/>
      <w:r>
        <w:t>readerboard</w:t>
      </w:r>
      <w:proofErr w:type="spellEnd"/>
      <w:r>
        <w:t xml:space="preserve">. </w:t>
      </w:r>
    </w:p>
    <w:p w14:paraId="5D92CC3E" w14:textId="3A8BF569" w:rsidR="00981795" w:rsidRDefault="00981795" w:rsidP="005964C2">
      <w:pPr>
        <w:overflowPunct/>
        <w:textAlignment w:val="auto"/>
        <w:rPr>
          <w:rFonts w:asciiTheme="minorHAnsi" w:hAnsiTheme="minorHAnsi" w:cstheme="minorHAnsi"/>
          <w:szCs w:val="22"/>
        </w:rPr>
      </w:pPr>
    </w:p>
    <w:p w14:paraId="26529EC7" w14:textId="77777777" w:rsidR="00C96B6E" w:rsidRDefault="00C96B6E" w:rsidP="005964C2">
      <w:pPr>
        <w:overflowPunct/>
        <w:textAlignment w:val="auto"/>
        <w:rPr>
          <w:rFonts w:asciiTheme="minorHAnsi" w:hAnsiTheme="minorHAnsi" w:cstheme="minorHAnsi"/>
          <w:szCs w:val="22"/>
        </w:rPr>
      </w:pPr>
    </w:p>
    <w:p w14:paraId="05E56B7D" w14:textId="5790C9FE" w:rsidR="000E0F67" w:rsidRPr="00C016E7" w:rsidRDefault="000E0F67" w:rsidP="005964C2">
      <w:pPr>
        <w:overflowPunct/>
        <w:textAlignment w:val="auto"/>
        <w:rPr>
          <w:rFonts w:asciiTheme="minorHAnsi" w:hAnsiTheme="minorHAnsi" w:cstheme="minorHAnsi"/>
          <w:szCs w:val="22"/>
        </w:rPr>
      </w:pPr>
      <w:r w:rsidRPr="000E0F67">
        <w:rPr>
          <w:rFonts w:asciiTheme="minorHAnsi" w:hAnsiTheme="minorHAnsi" w:cstheme="minorHAnsi"/>
          <w:szCs w:val="22"/>
        </w:rPr>
        <w:t xml:space="preserve">The submitted sign plan is included </w:t>
      </w:r>
      <w:r w:rsidRPr="008633E1">
        <w:rPr>
          <w:rFonts w:asciiTheme="minorHAnsi" w:hAnsiTheme="minorHAnsi" w:cstheme="minorHAnsi"/>
          <w:szCs w:val="22"/>
        </w:rPr>
        <w:t>in Exhibit B. T</w:t>
      </w:r>
      <w:r>
        <w:rPr>
          <w:rFonts w:asciiTheme="minorHAnsi" w:hAnsiTheme="minorHAnsi" w:cstheme="minorHAnsi"/>
          <w:szCs w:val="22"/>
        </w:rPr>
        <w:t xml:space="preserve">he proposed sign plan would require the approval of the following variances: </w:t>
      </w:r>
      <w:r w:rsidR="00126308" w:rsidRPr="000E0F67">
        <w:rPr>
          <w:rFonts w:asciiTheme="minorHAnsi" w:hAnsiTheme="minorHAnsi" w:cstheme="minorHAnsi"/>
          <w:szCs w:val="22"/>
        </w:rPr>
        <w:t xml:space="preserve"> </w:t>
      </w:r>
    </w:p>
    <w:p w14:paraId="5D42BA2D" w14:textId="5F0BD22A" w:rsidR="000E0F67" w:rsidRPr="00C016E7" w:rsidRDefault="000E0F67" w:rsidP="000E0F67"/>
    <w:p w14:paraId="210D1059" w14:textId="4D6F686C" w:rsidR="000E0F67" w:rsidRPr="00C016E7" w:rsidRDefault="000E0F67" w:rsidP="000E0F67">
      <w:pPr>
        <w:pStyle w:val="ListParagraph"/>
        <w:numPr>
          <w:ilvl w:val="0"/>
          <w:numId w:val="22"/>
        </w:numPr>
        <w:overflowPunct/>
        <w:autoSpaceDE/>
        <w:autoSpaceDN/>
        <w:adjustRightInd/>
        <w:spacing w:line="259" w:lineRule="auto"/>
        <w:textAlignment w:val="auto"/>
        <w:rPr>
          <w:b/>
        </w:rPr>
      </w:pPr>
      <w:r w:rsidRPr="00C016E7">
        <w:rPr>
          <w:b/>
        </w:rPr>
        <w:t>A variance to allow 10’- 4 5/8” height on the proposed Bass Pro Shops Formed Main ID Cabinet</w:t>
      </w:r>
      <w:r w:rsidR="002E315D" w:rsidRPr="00C016E7">
        <w:rPr>
          <w:b/>
        </w:rPr>
        <w:t xml:space="preserve"> (Sign 1</w:t>
      </w:r>
      <w:r w:rsidRPr="00C016E7">
        <w:rPr>
          <w:b/>
        </w:rPr>
        <w:t xml:space="preserve">) on the southern elevation for a total sign area of </w:t>
      </w:r>
      <w:r w:rsidR="00F756CE" w:rsidRPr="00C016E7">
        <w:rPr>
          <w:b/>
        </w:rPr>
        <w:t>156.8 square feet</w:t>
      </w:r>
      <w:r w:rsidRPr="00C016E7">
        <w:rPr>
          <w:b/>
        </w:rPr>
        <w:t>.</w:t>
      </w:r>
    </w:p>
    <w:p w14:paraId="0D38DFF5" w14:textId="65A7952F" w:rsidR="000E0F67" w:rsidRPr="00C016E7" w:rsidRDefault="000E0F67" w:rsidP="000E0F67">
      <w:pPr>
        <w:pStyle w:val="ListParagraph"/>
        <w:numPr>
          <w:ilvl w:val="1"/>
          <w:numId w:val="31"/>
        </w:numPr>
        <w:overflowPunct/>
        <w:autoSpaceDE/>
        <w:autoSpaceDN/>
        <w:adjustRightInd/>
        <w:spacing w:line="259" w:lineRule="auto"/>
        <w:textAlignment w:val="auto"/>
        <w:rPr>
          <w:b/>
        </w:rPr>
      </w:pPr>
      <w:r w:rsidRPr="00C016E7">
        <w:t>The proposed Bass Pro Shop</w:t>
      </w:r>
      <w:r w:rsidR="00C016E7">
        <w:t>s Formed Main ID Cabinet (Sign 1</w:t>
      </w:r>
      <w:r w:rsidRPr="00C016E7">
        <w:t>) is on the southern elevation which is 70,300 square feet, therefore under the sign code a 150 square foot sign with a maximu</w:t>
      </w:r>
      <w:r w:rsidR="00F756CE" w:rsidRPr="00C016E7">
        <w:t>m height of 4 feet is allowed</w:t>
      </w:r>
      <w:r w:rsidRPr="00C016E7">
        <w:t xml:space="preserve">.  </w:t>
      </w:r>
    </w:p>
    <w:p w14:paraId="59F46144" w14:textId="77777777" w:rsidR="000E0F67" w:rsidRPr="00C016E7" w:rsidRDefault="000E0F67" w:rsidP="000E0F67">
      <w:pPr>
        <w:pStyle w:val="ListParagraph"/>
        <w:numPr>
          <w:ilvl w:val="1"/>
          <w:numId w:val="31"/>
        </w:numPr>
        <w:overflowPunct/>
        <w:autoSpaceDE/>
        <w:autoSpaceDN/>
        <w:adjustRightInd/>
        <w:spacing w:line="259" w:lineRule="auto"/>
        <w:textAlignment w:val="auto"/>
        <w:rPr>
          <w:b/>
        </w:rPr>
      </w:pPr>
      <w:r w:rsidRPr="00C016E7">
        <w:t xml:space="preserve">The applicant proposes a sign area of 156.8 square feet with a height of 10’ – 4 5/8”. The proposed area is 6.8 square feet or 4.5% over the code allowance, and the proposed  height is 6’ – 4 5/8” or 159.6% over the code allowance </w:t>
      </w:r>
    </w:p>
    <w:p w14:paraId="0F444E70" w14:textId="22F2D2F8" w:rsidR="000E0F67" w:rsidRPr="00C016E7" w:rsidRDefault="000E0F67" w:rsidP="000E0F67">
      <w:pPr>
        <w:pStyle w:val="ListParagraph"/>
        <w:numPr>
          <w:ilvl w:val="1"/>
          <w:numId w:val="31"/>
        </w:numPr>
        <w:overflowPunct/>
        <w:autoSpaceDE/>
        <w:autoSpaceDN/>
        <w:adjustRightInd/>
        <w:spacing w:line="259" w:lineRule="auto"/>
        <w:textAlignment w:val="auto"/>
        <w:rPr>
          <w:b/>
        </w:rPr>
      </w:pPr>
      <w:r w:rsidRPr="00C016E7">
        <w:t>A previous sign variance (SVAR</w:t>
      </w:r>
      <w:r w:rsidR="00C016E7">
        <w:t xml:space="preserve"> </w:t>
      </w:r>
      <w:r w:rsidRPr="00C016E7">
        <w:t>14-01) for the retailer approved a 264 square foot sign with a height of 8 feet.</w:t>
      </w:r>
    </w:p>
    <w:p w14:paraId="4A81E545" w14:textId="585F83A6" w:rsidR="000E0F67" w:rsidRPr="00C016E7" w:rsidRDefault="000E0F67" w:rsidP="000E0F67">
      <w:pPr>
        <w:pStyle w:val="ListParagraph"/>
        <w:numPr>
          <w:ilvl w:val="1"/>
          <w:numId w:val="31"/>
        </w:numPr>
        <w:overflowPunct/>
        <w:autoSpaceDE/>
        <w:autoSpaceDN/>
        <w:adjustRightInd/>
        <w:spacing w:line="259" w:lineRule="auto"/>
        <w:textAlignment w:val="auto"/>
        <w:rPr>
          <w:b/>
        </w:rPr>
      </w:pPr>
      <w:r w:rsidRPr="00C016E7">
        <w:t xml:space="preserve">The proposal </w:t>
      </w:r>
      <w:r w:rsidR="00076F2D" w:rsidRPr="00C016E7">
        <w:t>is a reduction in square feet from</w:t>
      </w:r>
      <w:r w:rsidRPr="00C016E7">
        <w:t xml:space="preserve"> the existing sign of 264 square feet, a 107.2 or 40.6% reduction in square footage is proposed, and a height increase of 2’ – 4 5/8” or 29.8% is proposed. </w:t>
      </w:r>
    </w:p>
    <w:p w14:paraId="634A6A2B" w14:textId="44007F45" w:rsidR="00C016E7" w:rsidRDefault="00C016E7" w:rsidP="00C016E7">
      <w:pPr>
        <w:overflowPunct/>
        <w:autoSpaceDE/>
        <w:autoSpaceDN/>
        <w:adjustRightInd/>
        <w:spacing w:line="259" w:lineRule="auto"/>
        <w:textAlignment w:val="auto"/>
        <w:rPr>
          <w:b/>
        </w:rPr>
      </w:pPr>
    </w:p>
    <w:p w14:paraId="621F4525" w14:textId="77777777" w:rsidR="00C016E7" w:rsidRPr="00C016E7" w:rsidRDefault="00C016E7" w:rsidP="00C016E7">
      <w:pPr>
        <w:overflowPunct/>
        <w:autoSpaceDE/>
        <w:autoSpaceDN/>
        <w:adjustRightInd/>
        <w:spacing w:line="259" w:lineRule="auto"/>
        <w:textAlignment w:val="auto"/>
        <w:rPr>
          <w:b/>
        </w:rPr>
      </w:pPr>
    </w:p>
    <w:p w14:paraId="744565F3" w14:textId="77777777" w:rsidR="000E0F67" w:rsidRPr="00FF00AD" w:rsidRDefault="000E0F67" w:rsidP="000E0F67">
      <w:pPr>
        <w:pStyle w:val="ListParagraph"/>
        <w:rPr>
          <w:b/>
          <w:highlight w:val="yellow"/>
        </w:rPr>
      </w:pPr>
    </w:p>
    <w:p w14:paraId="30890A21" w14:textId="127E6890" w:rsidR="000E0F67" w:rsidRPr="00C016E7" w:rsidRDefault="000E0F67" w:rsidP="000E0F67">
      <w:pPr>
        <w:pStyle w:val="ListParagraph"/>
        <w:numPr>
          <w:ilvl w:val="0"/>
          <w:numId w:val="22"/>
        </w:numPr>
        <w:overflowPunct/>
        <w:autoSpaceDE/>
        <w:autoSpaceDN/>
        <w:adjustRightInd/>
        <w:spacing w:line="259" w:lineRule="auto"/>
        <w:textAlignment w:val="auto"/>
        <w:rPr>
          <w:b/>
        </w:rPr>
      </w:pPr>
      <w:r w:rsidRPr="00C016E7">
        <w:rPr>
          <w:b/>
        </w:rPr>
        <w:lastRenderedPageBreak/>
        <w:t>A variance to allow 6’ – 1/8’’ height on the proposed Ou</w:t>
      </w:r>
      <w:r w:rsidR="00C016E7" w:rsidRPr="00C016E7">
        <w:rPr>
          <w:b/>
        </w:rPr>
        <w:t>tdoor World Wall Cabinet (Sign 2</w:t>
      </w:r>
      <w:r w:rsidRPr="00C016E7">
        <w:rPr>
          <w:b/>
        </w:rPr>
        <w:t xml:space="preserve">) on the southern elevation for a total sign area of </w:t>
      </w:r>
      <w:r w:rsidR="00C016E7" w:rsidRPr="00C016E7">
        <w:rPr>
          <w:b/>
        </w:rPr>
        <w:t xml:space="preserve">198.4 </w:t>
      </w:r>
      <w:r w:rsidR="00F756CE" w:rsidRPr="00C016E7">
        <w:rPr>
          <w:b/>
        </w:rPr>
        <w:t>square feet</w:t>
      </w:r>
      <w:r w:rsidRPr="00C016E7">
        <w:rPr>
          <w:b/>
        </w:rPr>
        <w:t xml:space="preserve">. </w:t>
      </w:r>
    </w:p>
    <w:p w14:paraId="14565015" w14:textId="2F2403CE" w:rsidR="000E0F67" w:rsidRPr="00C016E7" w:rsidRDefault="000E0F67" w:rsidP="000E0F67">
      <w:pPr>
        <w:pStyle w:val="ListParagraph"/>
        <w:numPr>
          <w:ilvl w:val="1"/>
          <w:numId w:val="32"/>
        </w:numPr>
      </w:pPr>
      <w:r w:rsidRPr="00C016E7">
        <w:t>The proposed Ou</w:t>
      </w:r>
      <w:r w:rsidR="00C016E7" w:rsidRPr="00C016E7">
        <w:t>tdoor World Wall Cabinet (Sign 2</w:t>
      </w:r>
      <w:r w:rsidRPr="00C016E7">
        <w:t xml:space="preserve">) is on the southern elevation which is 70,300 square feet, therefore under the sign code a 150 square foot sign with a maximum </w:t>
      </w:r>
      <w:r w:rsidR="00F756CE" w:rsidRPr="00C016E7">
        <w:t>height of 4 feet is</w:t>
      </w:r>
      <w:r w:rsidRPr="00C016E7">
        <w:t xml:space="preserve"> allowed.  </w:t>
      </w:r>
    </w:p>
    <w:p w14:paraId="4E4B0307" w14:textId="5EAD20D0" w:rsidR="000E0F67" w:rsidRPr="00C016E7" w:rsidRDefault="000E0F67" w:rsidP="000E0F67">
      <w:pPr>
        <w:pStyle w:val="ListParagraph"/>
        <w:numPr>
          <w:ilvl w:val="1"/>
          <w:numId w:val="32"/>
        </w:numPr>
        <w:overflowPunct/>
        <w:autoSpaceDE/>
        <w:autoSpaceDN/>
        <w:adjustRightInd/>
        <w:spacing w:line="259" w:lineRule="auto"/>
        <w:textAlignment w:val="auto"/>
      </w:pPr>
      <w:r w:rsidRPr="00C016E7">
        <w:t>The applicant proposed a sign area of 198.5 squ</w:t>
      </w:r>
      <w:r w:rsidR="0078183E" w:rsidRPr="00C016E7">
        <w:t xml:space="preserve">are feet with a height of 6’ – </w:t>
      </w:r>
      <w:r w:rsidRPr="00C016E7">
        <w:t>1/8”. The proposed area is 48.5 square feet or 32.3% over the code allowance. The prop</w:t>
      </w:r>
      <w:r w:rsidR="00EE1C7D" w:rsidRPr="00C016E7">
        <w:t>osed height is 2’ – 1/8” or 52.1</w:t>
      </w:r>
      <w:r w:rsidRPr="00C016E7">
        <w:t xml:space="preserve">% over the code allowance. </w:t>
      </w:r>
    </w:p>
    <w:p w14:paraId="7CAB8918" w14:textId="462AA692" w:rsidR="000E0F67" w:rsidRPr="00C016E7" w:rsidRDefault="000E0F67" w:rsidP="00C016E7">
      <w:pPr>
        <w:rPr>
          <w:highlight w:val="yellow"/>
        </w:rPr>
      </w:pPr>
    </w:p>
    <w:p w14:paraId="24E5B51F" w14:textId="1EDB0457" w:rsidR="000E0F67" w:rsidRPr="00C016E7" w:rsidRDefault="000E0F67" w:rsidP="000E0F67">
      <w:pPr>
        <w:pStyle w:val="ListParagraph"/>
        <w:numPr>
          <w:ilvl w:val="0"/>
          <w:numId w:val="22"/>
        </w:numPr>
        <w:overflowPunct/>
        <w:autoSpaceDE/>
        <w:autoSpaceDN/>
        <w:adjustRightInd/>
        <w:spacing w:line="259" w:lineRule="auto"/>
        <w:textAlignment w:val="auto"/>
        <w:rPr>
          <w:b/>
        </w:rPr>
      </w:pPr>
      <w:r w:rsidRPr="00C016E7">
        <w:rPr>
          <w:b/>
        </w:rPr>
        <w:t>A</w:t>
      </w:r>
      <w:r w:rsidR="00C016E7" w:rsidRPr="00C016E7">
        <w:rPr>
          <w:b/>
        </w:rPr>
        <w:t xml:space="preserve"> variance to allow 10’</w:t>
      </w:r>
      <w:r w:rsidRPr="00C016E7">
        <w:rPr>
          <w:b/>
        </w:rPr>
        <w:t xml:space="preserve"> height on the propose</w:t>
      </w:r>
      <w:r w:rsidR="00C016E7" w:rsidRPr="00C016E7">
        <w:rPr>
          <w:b/>
        </w:rPr>
        <w:t>d Bass Pro Shops Cabinet (Sign 3</w:t>
      </w:r>
      <w:r w:rsidRPr="00C016E7">
        <w:rPr>
          <w:b/>
        </w:rPr>
        <w:t>) on the eastern elevation for a total area of</w:t>
      </w:r>
      <w:r w:rsidR="00C016E7" w:rsidRPr="00C016E7">
        <w:rPr>
          <w:b/>
        </w:rPr>
        <w:t xml:space="preserve"> 150</w:t>
      </w:r>
      <w:r w:rsidR="00F756CE" w:rsidRPr="00C016E7">
        <w:rPr>
          <w:b/>
        </w:rPr>
        <w:t xml:space="preserve"> square feet</w:t>
      </w:r>
      <w:r w:rsidRPr="00C016E7">
        <w:rPr>
          <w:b/>
        </w:rPr>
        <w:t xml:space="preserve">. </w:t>
      </w:r>
    </w:p>
    <w:p w14:paraId="1B622834" w14:textId="7AA82C99" w:rsidR="000E0F67" w:rsidRPr="00C016E7" w:rsidRDefault="000E0F67" w:rsidP="000E0F67">
      <w:pPr>
        <w:pStyle w:val="ListParagraph"/>
        <w:numPr>
          <w:ilvl w:val="1"/>
          <w:numId w:val="35"/>
        </w:numPr>
      </w:pPr>
      <w:r w:rsidRPr="00C016E7">
        <w:t>The proposed Ba</w:t>
      </w:r>
      <w:r w:rsidR="00C016E7" w:rsidRPr="00C016E7">
        <w:t>ss Pro Shops Cabinet (Sign 3</w:t>
      </w:r>
      <w:r w:rsidRPr="00C016E7">
        <w:t>) is on the eastern elevation which is 36,765 square feet, therefore under the sign code a 150 square foot sign with a maximum</w:t>
      </w:r>
      <w:r w:rsidR="00F756CE" w:rsidRPr="00C016E7">
        <w:t xml:space="preserve"> height of 4 feet is allowed.</w:t>
      </w:r>
      <w:r w:rsidRPr="00C016E7">
        <w:t xml:space="preserve"> </w:t>
      </w:r>
    </w:p>
    <w:p w14:paraId="1FAD0060" w14:textId="3E7CF820" w:rsidR="000E0F67" w:rsidRPr="00C016E7" w:rsidRDefault="000E0F67" w:rsidP="000E0F67">
      <w:pPr>
        <w:pStyle w:val="ListParagraph"/>
        <w:numPr>
          <w:ilvl w:val="1"/>
          <w:numId w:val="35"/>
        </w:numPr>
      </w:pPr>
      <w:r w:rsidRPr="00C016E7">
        <w:t xml:space="preserve">The applicant proposes a sign </w:t>
      </w:r>
      <w:r w:rsidR="007F4850" w:rsidRPr="00C016E7">
        <w:t>height o</w:t>
      </w:r>
      <w:r w:rsidR="00C016E7" w:rsidRPr="00C016E7">
        <w:t>f 10’</w:t>
      </w:r>
      <w:r w:rsidR="007F4850" w:rsidRPr="00C016E7">
        <w:t xml:space="preserve">. The proposed </w:t>
      </w:r>
      <w:r w:rsidR="00443AD1" w:rsidRPr="00C016E7">
        <w:t>the height is</w:t>
      </w:r>
      <w:r w:rsidR="00C016E7" w:rsidRPr="00C016E7">
        <w:t xml:space="preserve"> 6’ or 150% over the code allowance.</w:t>
      </w:r>
    </w:p>
    <w:p w14:paraId="4AF4202A" w14:textId="15CE5B46" w:rsidR="000E0F67" w:rsidRPr="00C016E7" w:rsidRDefault="000E0F67" w:rsidP="000E0F67">
      <w:pPr>
        <w:pStyle w:val="ListParagraph"/>
        <w:numPr>
          <w:ilvl w:val="1"/>
          <w:numId w:val="35"/>
        </w:numPr>
        <w:overflowPunct/>
        <w:autoSpaceDE/>
        <w:autoSpaceDN/>
        <w:adjustRightInd/>
        <w:spacing w:line="259" w:lineRule="auto"/>
        <w:textAlignment w:val="auto"/>
      </w:pPr>
      <w:r w:rsidRPr="00C016E7">
        <w:t>A previous sign variance (SVAR14-01</w:t>
      </w:r>
      <w:r w:rsidR="00076F2D" w:rsidRPr="00C016E7">
        <w:t>) for the retailer approved a 22</w:t>
      </w:r>
      <w:r w:rsidRPr="00C016E7">
        <w:t>7 square foot sign with a height of 8 feet.</w:t>
      </w:r>
    </w:p>
    <w:p w14:paraId="1282DB6E" w14:textId="5E66E5BC" w:rsidR="000E0F67" w:rsidRPr="0034191F" w:rsidRDefault="000E0F67" w:rsidP="00773303">
      <w:pPr>
        <w:pStyle w:val="ListParagraph"/>
        <w:numPr>
          <w:ilvl w:val="1"/>
          <w:numId w:val="36"/>
        </w:numPr>
        <w:overflowPunct/>
        <w:autoSpaceDE/>
        <w:autoSpaceDN/>
        <w:adjustRightInd/>
        <w:spacing w:line="259" w:lineRule="auto"/>
        <w:textAlignment w:val="auto"/>
      </w:pPr>
      <w:r w:rsidRPr="0034191F">
        <w:t xml:space="preserve">The proposal </w:t>
      </w:r>
      <w:r w:rsidR="00C016E7" w:rsidRPr="0034191F">
        <w:t>is a decrease</w:t>
      </w:r>
      <w:r w:rsidR="00076F2D" w:rsidRPr="0034191F">
        <w:t xml:space="preserve"> in square feet from</w:t>
      </w:r>
      <w:r w:rsidRPr="0034191F">
        <w:t xml:space="preserve"> the existing </w:t>
      </w:r>
      <w:r w:rsidR="00C016E7" w:rsidRPr="0034191F">
        <w:t xml:space="preserve">sign of 77 </w:t>
      </w:r>
      <w:r w:rsidR="00076F2D" w:rsidRPr="0034191F">
        <w:t xml:space="preserve">square feet. The proposed </w:t>
      </w:r>
      <w:r w:rsidRPr="0034191F">
        <w:t>he</w:t>
      </w:r>
      <w:r w:rsidR="0034191F" w:rsidRPr="0034191F">
        <w:t>ight increase of 2’ or 25</w:t>
      </w:r>
      <w:r w:rsidRPr="0034191F">
        <w:t xml:space="preserve">%. </w:t>
      </w:r>
    </w:p>
    <w:p w14:paraId="2C752AFB" w14:textId="6021CFE9" w:rsidR="000E0F67" w:rsidRPr="00FF00AD" w:rsidRDefault="000E0F67" w:rsidP="00D1782F">
      <w:pPr>
        <w:rPr>
          <w:rFonts w:cs="Calibri"/>
          <w:color w:val="000000"/>
          <w:highlight w:val="yellow"/>
        </w:rPr>
      </w:pPr>
    </w:p>
    <w:p w14:paraId="62568CE7" w14:textId="08FB9DD4" w:rsidR="00B17B37" w:rsidRPr="0034191F" w:rsidRDefault="009412AA" w:rsidP="00D1782F">
      <w:pPr>
        <w:rPr>
          <w:rFonts w:cs="Calibri"/>
          <w:color w:val="000000"/>
        </w:rPr>
      </w:pPr>
      <w:r w:rsidRPr="0034191F">
        <w:rPr>
          <w:rFonts w:cs="Calibri"/>
          <w:color w:val="000000"/>
        </w:rPr>
        <w:t>T</w:t>
      </w:r>
      <w:r w:rsidR="0034191F" w:rsidRPr="0034191F">
        <w:rPr>
          <w:rFonts w:cs="Calibri"/>
          <w:color w:val="000000"/>
        </w:rPr>
        <w:t>he total area of the 2</w:t>
      </w:r>
      <w:r w:rsidR="00126308" w:rsidRPr="0034191F">
        <w:rPr>
          <w:rFonts w:cs="Calibri"/>
          <w:color w:val="000000"/>
        </w:rPr>
        <w:t xml:space="preserve"> signs proposed for the southern elevation</w:t>
      </w:r>
      <w:r w:rsidRPr="0034191F">
        <w:rPr>
          <w:rFonts w:cs="Calibri"/>
          <w:color w:val="000000"/>
        </w:rPr>
        <w:t xml:space="preserve"> </w:t>
      </w:r>
      <w:r w:rsidR="0034191F" w:rsidRPr="0034191F">
        <w:rPr>
          <w:rFonts w:cs="Calibri"/>
          <w:color w:val="000000"/>
        </w:rPr>
        <w:t>of the building is 355.2</w:t>
      </w:r>
      <w:r w:rsidR="003A7736" w:rsidRPr="0034191F">
        <w:rPr>
          <w:rFonts w:cs="Calibri"/>
          <w:color w:val="000000"/>
        </w:rPr>
        <w:t xml:space="preserve"> sf. </w:t>
      </w:r>
      <w:r w:rsidR="00126308" w:rsidRPr="0034191F">
        <w:rPr>
          <w:rFonts w:cs="Calibri"/>
          <w:color w:val="000000"/>
        </w:rPr>
        <w:t>The total area of the one sign proposed on the eastern el</w:t>
      </w:r>
      <w:r w:rsidR="0034191F" w:rsidRPr="0034191F">
        <w:rPr>
          <w:rFonts w:cs="Calibri"/>
          <w:color w:val="000000"/>
        </w:rPr>
        <w:t>evation of the building is 150</w:t>
      </w:r>
      <w:r w:rsidR="00126308" w:rsidRPr="0034191F">
        <w:rPr>
          <w:rFonts w:cs="Calibri"/>
          <w:color w:val="000000"/>
        </w:rPr>
        <w:t xml:space="preserve"> sf. </w:t>
      </w:r>
      <w:r w:rsidR="003A7736" w:rsidRPr="0034191F">
        <w:rPr>
          <w:rFonts w:cs="Calibri"/>
          <w:color w:val="000000"/>
        </w:rPr>
        <w:t>The total square footage of all propose</w:t>
      </w:r>
      <w:r w:rsidR="0034191F" w:rsidRPr="0034191F">
        <w:rPr>
          <w:rFonts w:cs="Calibri"/>
          <w:color w:val="000000"/>
        </w:rPr>
        <w:t>d signs on the building is 505.2</w:t>
      </w:r>
      <w:r w:rsidR="003A7736" w:rsidRPr="0034191F">
        <w:rPr>
          <w:rFonts w:cs="Calibri"/>
          <w:color w:val="000000"/>
        </w:rPr>
        <w:t xml:space="preserve"> sf.</w:t>
      </w:r>
      <w:r w:rsidR="0034191F" w:rsidRPr="0034191F">
        <w:rPr>
          <w:rFonts w:cs="Calibri"/>
          <w:color w:val="000000"/>
        </w:rPr>
        <w:t xml:space="preserve"> The current area total for the existing signs is </w:t>
      </w:r>
      <w:r w:rsidR="0034191F">
        <w:rPr>
          <w:rFonts w:cs="Calibri"/>
          <w:color w:val="000000"/>
        </w:rPr>
        <w:t xml:space="preserve">658 sf. </w:t>
      </w:r>
    </w:p>
    <w:p w14:paraId="391C7FA5" w14:textId="10723615" w:rsidR="00FE183E" w:rsidRPr="0034191F" w:rsidRDefault="00FE183E" w:rsidP="004476D6">
      <w:pPr>
        <w:pStyle w:val="Heading2"/>
      </w:pPr>
      <w:bookmarkStart w:id="3" w:name="_Toc56073800"/>
      <w:r w:rsidRPr="0034191F">
        <w:t>Previous Land Use Actions</w:t>
      </w:r>
      <w:bookmarkEnd w:id="3"/>
    </w:p>
    <w:p w14:paraId="176237F3" w14:textId="3AF72202" w:rsidR="005964C2" w:rsidRDefault="005964C2" w:rsidP="00AC3716">
      <w:pPr>
        <w:pStyle w:val="ListParagraph"/>
        <w:numPr>
          <w:ilvl w:val="0"/>
          <w:numId w:val="14"/>
        </w:numPr>
        <w:rPr>
          <w:rFonts w:asciiTheme="minorHAnsi" w:hAnsiTheme="minorHAnsi" w:cstheme="minorHAnsi"/>
          <w:szCs w:val="22"/>
        </w:rPr>
      </w:pPr>
      <w:r>
        <w:rPr>
          <w:rFonts w:asciiTheme="minorHAnsi" w:hAnsiTheme="minorHAnsi" w:cstheme="minorHAnsi"/>
          <w:szCs w:val="22"/>
        </w:rPr>
        <w:t>AR13-07 – Nyberg Rivers</w:t>
      </w:r>
    </w:p>
    <w:p w14:paraId="0B8AC27E" w14:textId="3694F35E" w:rsidR="005964C2" w:rsidRDefault="005964C2" w:rsidP="00AC3716">
      <w:pPr>
        <w:pStyle w:val="ListParagraph"/>
        <w:numPr>
          <w:ilvl w:val="0"/>
          <w:numId w:val="14"/>
        </w:numPr>
        <w:rPr>
          <w:rFonts w:asciiTheme="minorHAnsi" w:hAnsiTheme="minorHAnsi" w:cstheme="minorHAnsi"/>
          <w:szCs w:val="22"/>
        </w:rPr>
      </w:pPr>
      <w:r>
        <w:rPr>
          <w:rFonts w:asciiTheme="minorHAnsi" w:hAnsiTheme="minorHAnsi" w:cstheme="minorHAnsi"/>
          <w:szCs w:val="22"/>
        </w:rPr>
        <w:t>SVAR14-01 – Cabela’s</w:t>
      </w:r>
    </w:p>
    <w:p w14:paraId="496F84D7" w14:textId="5FB24115" w:rsidR="00F256E4" w:rsidRPr="00D1782F" w:rsidRDefault="005964C2" w:rsidP="00F256E4">
      <w:pPr>
        <w:pStyle w:val="ListParagraph"/>
        <w:numPr>
          <w:ilvl w:val="0"/>
          <w:numId w:val="14"/>
        </w:numPr>
        <w:rPr>
          <w:rFonts w:asciiTheme="minorHAnsi" w:hAnsiTheme="minorHAnsi" w:cstheme="minorHAnsi"/>
          <w:szCs w:val="22"/>
        </w:rPr>
      </w:pPr>
      <w:r>
        <w:rPr>
          <w:rFonts w:asciiTheme="minorHAnsi" w:hAnsiTheme="minorHAnsi" w:cstheme="minorHAnsi"/>
          <w:szCs w:val="22"/>
        </w:rPr>
        <w:t xml:space="preserve">SVAR15-01 – Cabela’s </w:t>
      </w:r>
      <w:bookmarkStart w:id="4" w:name="_Toc532292945"/>
      <w:bookmarkStart w:id="5" w:name="_Toc56073801"/>
    </w:p>
    <w:p w14:paraId="4D76B971" w14:textId="37A6B4F0" w:rsidR="003F4957" w:rsidRPr="00F256E4" w:rsidRDefault="00542E6A" w:rsidP="00F256E4">
      <w:pPr>
        <w:pStyle w:val="Heading2"/>
        <w:rPr>
          <w:rFonts w:cstheme="minorHAnsi"/>
          <w:szCs w:val="22"/>
        </w:rPr>
      </w:pPr>
      <w:r w:rsidRPr="00F256E4">
        <w:t xml:space="preserve">Site Description and </w:t>
      </w:r>
      <w:r w:rsidR="003F4957" w:rsidRPr="00F256E4">
        <w:t>Surrounding Uses</w:t>
      </w:r>
      <w:bookmarkEnd w:id="4"/>
      <w:bookmarkEnd w:id="5"/>
    </w:p>
    <w:p w14:paraId="37253925" w14:textId="73B88C15" w:rsidR="005964C2" w:rsidRDefault="005964C2" w:rsidP="002D1B46">
      <w:pPr>
        <w:tabs>
          <w:tab w:val="left" w:pos="360"/>
          <w:tab w:val="left" w:pos="1080"/>
        </w:tabs>
        <w:suppressAutoHyphens/>
        <w:spacing w:before="120" w:after="120"/>
        <w:jc w:val="both"/>
        <w:rPr>
          <w:rFonts w:cs="Calibri"/>
          <w:szCs w:val="22"/>
        </w:rPr>
      </w:pPr>
      <w:r w:rsidRPr="002E03CE">
        <w:rPr>
          <w:rFonts w:cs="Calibri"/>
          <w:szCs w:val="22"/>
        </w:rPr>
        <w:t>The subject site is a 22.74-</w:t>
      </w:r>
      <w:r w:rsidR="002D1B46" w:rsidRPr="002E03CE">
        <w:rPr>
          <w:rFonts w:cs="Calibri"/>
          <w:szCs w:val="22"/>
        </w:rPr>
        <w:t xml:space="preserve">acre lot that is zoned </w:t>
      </w:r>
      <w:r w:rsidRPr="002E03CE">
        <w:rPr>
          <w:rFonts w:cs="Calibri"/>
          <w:szCs w:val="22"/>
        </w:rPr>
        <w:t xml:space="preserve">Central Commercial (CC) and Office Commercial (CO). </w:t>
      </w:r>
      <w:r w:rsidR="00E7344A">
        <w:rPr>
          <w:rFonts w:cs="Calibri"/>
          <w:szCs w:val="22"/>
        </w:rPr>
        <w:t xml:space="preserve">The retailer is located west of Interstate 5, north of SW Nyberg St and south of the Tualatin River. </w:t>
      </w:r>
      <w:r w:rsidRPr="002E03CE">
        <w:rPr>
          <w:rFonts w:cs="Calibri"/>
          <w:szCs w:val="22"/>
        </w:rPr>
        <w:t>The site includes the Major Commercial Center of Nyberg Rivers which includes various commercial tenants</w:t>
      </w:r>
      <w:r w:rsidR="00514EF3" w:rsidRPr="002E03CE">
        <w:rPr>
          <w:rFonts w:cs="Calibri"/>
          <w:szCs w:val="22"/>
        </w:rPr>
        <w:t xml:space="preserve">. </w:t>
      </w:r>
      <w:r w:rsidR="002E03CE" w:rsidRPr="002E03CE">
        <w:rPr>
          <w:rFonts w:cs="Calibri"/>
          <w:szCs w:val="22"/>
        </w:rPr>
        <w:t>The square footage of the Cabela’s/Bass Pro Shops retailer is approximately 110,093 sf.</w:t>
      </w:r>
    </w:p>
    <w:p w14:paraId="47AC45E5" w14:textId="4BA9762D" w:rsidR="002E03CE" w:rsidRDefault="00F256E4" w:rsidP="002D1B46">
      <w:pPr>
        <w:tabs>
          <w:tab w:val="left" w:pos="360"/>
          <w:tab w:val="left" w:pos="1080"/>
        </w:tabs>
        <w:suppressAutoHyphens/>
        <w:spacing w:before="120" w:after="120"/>
        <w:jc w:val="both"/>
        <w:rPr>
          <w:rFonts w:cs="Calibri"/>
          <w:szCs w:val="22"/>
        </w:rPr>
      </w:pPr>
      <w:r w:rsidRPr="003D57C6">
        <w:rPr>
          <w:rFonts w:asciiTheme="minorHAnsi" w:hAnsiTheme="minorHAnsi" w:cstheme="minorHAnsi"/>
          <w:noProof/>
        </w:rPr>
        <w:lastRenderedPageBreak/>
        <w:drawing>
          <wp:anchor distT="0" distB="0" distL="114300" distR="114300" simplePos="0" relativeHeight="251665408" behindDoc="1" locked="0" layoutInCell="1" allowOverlap="1" wp14:anchorId="6F03A03E" wp14:editId="65EB5842">
            <wp:simplePos x="0" y="0"/>
            <wp:positionH relativeFrom="column">
              <wp:posOffset>95250</wp:posOffset>
            </wp:positionH>
            <wp:positionV relativeFrom="paragraph">
              <wp:posOffset>10795</wp:posOffset>
            </wp:positionV>
            <wp:extent cx="4638675" cy="3168015"/>
            <wp:effectExtent l="0" t="0" r="9525" b="0"/>
            <wp:wrapTight wrapText="bothSides">
              <wp:wrapPolygon edited="0">
                <wp:start x="0" y="0"/>
                <wp:lineTo x="0" y="21431"/>
                <wp:lineTo x="21556" y="21431"/>
                <wp:lineTo x="2155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38675" cy="3168015"/>
                    </a:xfrm>
                    <a:prstGeom prst="rect">
                      <a:avLst/>
                    </a:prstGeom>
                  </pic:spPr>
                </pic:pic>
              </a:graphicData>
            </a:graphic>
            <wp14:sizeRelH relativeFrom="margin">
              <wp14:pctWidth>0</wp14:pctWidth>
            </wp14:sizeRelH>
            <wp14:sizeRelV relativeFrom="margin">
              <wp14:pctHeight>0</wp14:pctHeight>
            </wp14:sizeRelV>
          </wp:anchor>
        </w:drawing>
      </w:r>
    </w:p>
    <w:p w14:paraId="282949B1" w14:textId="577B0015" w:rsidR="00F256E4" w:rsidRDefault="00F256E4" w:rsidP="00E26F35">
      <w:pPr>
        <w:tabs>
          <w:tab w:val="left" w:pos="360"/>
          <w:tab w:val="left" w:pos="1080"/>
        </w:tabs>
        <w:suppressAutoHyphens/>
        <w:spacing w:before="120"/>
        <w:jc w:val="both"/>
        <w:rPr>
          <w:rFonts w:cstheme="minorHAnsi"/>
          <w:bCs/>
        </w:rPr>
      </w:pPr>
      <w:r w:rsidRPr="00214404">
        <w:rPr>
          <w:noProof/>
        </w:rPr>
        <w:drawing>
          <wp:anchor distT="0" distB="0" distL="114300" distR="114300" simplePos="0" relativeHeight="251666432" behindDoc="0" locked="0" layoutInCell="1" allowOverlap="1" wp14:anchorId="78CC9858" wp14:editId="28071E0F">
            <wp:simplePos x="0" y="0"/>
            <wp:positionH relativeFrom="page">
              <wp:posOffset>5153025</wp:posOffset>
            </wp:positionH>
            <wp:positionV relativeFrom="paragraph">
              <wp:posOffset>167005</wp:posOffset>
            </wp:positionV>
            <wp:extent cx="1741117" cy="2514600"/>
            <wp:effectExtent l="19050" t="19050" r="12065" b="190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741117" cy="25146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B6E1F9C" w14:textId="07D186B4" w:rsidR="00F256E4" w:rsidRDefault="00F256E4" w:rsidP="00E26F35">
      <w:pPr>
        <w:tabs>
          <w:tab w:val="left" w:pos="360"/>
          <w:tab w:val="left" w:pos="1080"/>
        </w:tabs>
        <w:suppressAutoHyphens/>
        <w:spacing w:before="120"/>
        <w:jc w:val="both"/>
        <w:rPr>
          <w:rFonts w:cstheme="minorHAnsi"/>
          <w:bCs/>
        </w:rPr>
      </w:pPr>
    </w:p>
    <w:p w14:paraId="47C6032A" w14:textId="77777777" w:rsidR="00F256E4" w:rsidRDefault="00F256E4" w:rsidP="00E26F35">
      <w:pPr>
        <w:tabs>
          <w:tab w:val="left" w:pos="360"/>
          <w:tab w:val="left" w:pos="1080"/>
        </w:tabs>
        <w:suppressAutoHyphens/>
        <w:spacing w:before="120"/>
        <w:jc w:val="both"/>
        <w:rPr>
          <w:rFonts w:cstheme="minorHAnsi"/>
          <w:bCs/>
        </w:rPr>
      </w:pPr>
    </w:p>
    <w:p w14:paraId="19DD4BAF" w14:textId="71532FBF" w:rsidR="00F256E4" w:rsidRDefault="00F256E4" w:rsidP="00E26F35">
      <w:pPr>
        <w:tabs>
          <w:tab w:val="left" w:pos="360"/>
          <w:tab w:val="left" w:pos="1080"/>
        </w:tabs>
        <w:suppressAutoHyphens/>
        <w:spacing w:before="120"/>
        <w:jc w:val="both"/>
        <w:rPr>
          <w:rFonts w:cstheme="minorHAnsi"/>
          <w:bCs/>
        </w:rPr>
      </w:pPr>
    </w:p>
    <w:p w14:paraId="71879C13" w14:textId="687D563C" w:rsidR="00F256E4" w:rsidRDefault="00F256E4" w:rsidP="00E26F35">
      <w:pPr>
        <w:tabs>
          <w:tab w:val="left" w:pos="360"/>
          <w:tab w:val="left" w:pos="1080"/>
        </w:tabs>
        <w:suppressAutoHyphens/>
        <w:spacing w:before="120"/>
        <w:jc w:val="both"/>
        <w:rPr>
          <w:rFonts w:cstheme="minorHAnsi"/>
          <w:bCs/>
        </w:rPr>
      </w:pPr>
    </w:p>
    <w:p w14:paraId="69945D74" w14:textId="5CFF3A30" w:rsidR="00F256E4" w:rsidRDefault="00F256E4" w:rsidP="00E26F35">
      <w:pPr>
        <w:tabs>
          <w:tab w:val="left" w:pos="360"/>
          <w:tab w:val="left" w:pos="1080"/>
        </w:tabs>
        <w:suppressAutoHyphens/>
        <w:spacing w:before="120"/>
        <w:jc w:val="both"/>
        <w:rPr>
          <w:rFonts w:cstheme="minorHAnsi"/>
          <w:bCs/>
        </w:rPr>
      </w:pPr>
    </w:p>
    <w:p w14:paraId="092320A8" w14:textId="13BCC4A9" w:rsidR="00F256E4" w:rsidRDefault="00F256E4" w:rsidP="00E26F35">
      <w:pPr>
        <w:tabs>
          <w:tab w:val="left" w:pos="360"/>
          <w:tab w:val="left" w:pos="1080"/>
        </w:tabs>
        <w:suppressAutoHyphens/>
        <w:spacing w:before="120"/>
        <w:jc w:val="both"/>
        <w:rPr>
          <w:rFonts w:cstheme="minorHAnsi"/>
          <w:bCs/>
        </w:rPr>
      </w:pPr>
    </w:p>
    <w:p w14:paraId="1F987678" w14:textId="06914EAB" w:rsidR="00F256E4" w:rsidRDefault="00F256E4" w:rsidP="00E26F35">
      <w:pPr>
        <w:tabs>
          <w:tab w:val="left" w:pos="360"/>
          <w:tab w:val="left" w:pos="1080"/>
        </w:tabs>
        <w:suppressAutoHyphens/>
        <w:spacing w:before="120"/>
        <w:jc w:val="both"/>
        <w:rPr>
          <w:rFonts w:cstheme="minorHAnsi"/>
          <w:bCs/>
        </w:rPr>
      </w:pPr>
    </w:p>
    <w:p w14:paraId="3CEDA139" w14:textId="77777777" w:rsidR="00F256E4" w:rsidRDefault="00F256E4" w:rsidP="00E26F35">
      <w:pPr>
        <w:tabs>
          <w:tab w:val="left" w:pos="360"/>
          <w:tab w:val="left" w:pos="1080"/>
        </w:tabs>
        <w:suppressAutoHyphens/>
        <w:spacing w:before="120"/>
        <w:jc w:val="both"/>
        <w:rPr>
          <w:rFonts w:cstheme="minorHAnsi"/>
          <w:bCs/>
        </w:rPr>
      </w:pPr>
    </w:p>
    <w:p w14:paraId="057C1C17" w14:textId="77777777" w:rsidR="00F256E4" w:rsidRDefault="00F256E4" w:rsidP="00E26F35">
      <w:pPr>
        <w:tabs>
          <w:tab w:val="left" w:pos="360"/>
          <w:tab w:val="left" w:pos="1080"/>
        </w:tabs>
        <w:suppressAutoHyphens/>
        <w:spacing w:before="120"/>
        <w:jc w:val="both"/>
        <w:rPr>
          <w:rFonts w:cstheme="minorHAnsi"/>
          <w:bCs/>
        </w:rPr>
      </w:pPr>
    </w:p>
    <w:p w14:paraId="08043C33" w14:textId="54017890" w:rsidR="00F256E4" w:rsidRDefault="00F256E4" w:rsidP="00E26F35">
      <w:pPr>
        <w:tabs>
          <w:tab w:val="left" w:pos="360"/>
          <w:tab w:val="left" w:pos="1080"/>
        </w:tabs>
        <w:suppressAutoHyphens/>
        <w:spacing w:before="120"/>
        <w:jc w:val="both"/>
        <w:rPr>
          <w:rFonts w:cstheme="minorHAnsi"/>
          <w:bCs/>
        </w:rPr>
      </w:pPr>
    </w:p>
    <w:p w14:paraId="5E30BC53" w14:textId="77777777" w:rsidR="00F256E4" w:rsidRDefault="00F256E4" w:rsidP="00F256E4">
      <w:pPr>
        <w:rPr>
          <w:rFonts w:cstheme="minorHAnsi"/>
          <w:bCs/>
        </w:rPr>
      </w:pPr>
    </w:p>
    <w:p w14:paraId="12BC3F2A" w14:textId="77777777" w:rsidR="00F256E4" w:rsidRDefault="00F256E4" w:rsidP="00F256E4">
      <w:pPr>
        <w:rPr>
          <w:rFonts w:cstheme="minorHAnsi"/>
          <w:bCs/>
        </w:rPr>
      </w:pPr>
    </w:p>
    <w:p w14:paraId="622F7F85" w14:textId="48896F31" w:rsidR="00F256E4" w:rsidRDefault="00F256E4" w:rsidP="00F256E4">
      <w:r w:rsidRPr="00214404">
        <w:rPr>
          <w:rFonts w:cs="Calibri"/>
          <w:i/>
          <w:szCs w:val="22"/>
        </w:rPr>
        <w:t>Figure 1: Aerial view of subject site (highlighted</w:t>
      </w:r>
      <w:r>
        <w:rPr>
          <w:rFonts w:cs="Calibri"/>
          <w:i/>
          <w:szCs w:val="22"/>
        </w:rPr>
        <w:t>)</w:t>
      </w:r>
    </w:p>
    <w:p w14:paraId="64843865" w14:textId="0FC4E1C5" w:rsidR="00F256E4" w:rsidRDefault="00F256E4" w:rsidP="00E26F35">
      <w:pPr>
        <w:tabs>
          <w:tab w:val="left" w:pos="360"/>
          <w:tab w:val="left" w:pos="1080"/>
        </w:tabs>
        <w:suppressAutoHyphens/>
        <w:spacing w:before="120"/>
        <w:jc w:val="both"/>
        <w:rPr>
          <w:rFonts w:cstheme="minorHAnsi"/>
          <w:bCs/>
        </w:rPr>
      </w:pPr>
    </w:p>
    <w:p w14:paraId="1FA25930" w14:textId="48C88689" w:rsidR="00E26F35" w:rsidRPr="00EB7D24" w:rsidRDefault="003C11FF" w:rsidP="00E26F35">
      <w:pPr>
        <w:tabs>
          <w:tab w:val="left" w:pos="360"/>
          <w:tab w:val="left" w:pos="1080"/>
        </w:tabs>
        <w:suppressAutoHyphens/>
        <w:spacing w:before="120"/>
        <w:jc w:val="both"/>
        <w:rPr>
          <w:rFonts w:cstheme="minorHAnsi"/>
          <w:b/>
          <w:u w:val="single"/>
        </w:rPr>
      </w:pPr>
      <w:r w:rsidRPr="00514EF3">
        <w:rPr>
          <w:rFonts w:cstheme="minorHAnsi"/>
          <w:bCs/>
        </w:rPr>
        <w:t>North:</w:t>
      </w:r>
      <w:r w:rsidRPr="00514EF3">
        <w:rPr>
          <w:rFonts w:cstheme="minorHAnsi"/>
          <w:bCs/>
        </w:rPr>
        <w:tab/>
      </w:r>
      <w:r w:rsidR="00514EF3" w:rsidRPr="00EB7D24">
        <w:rPr>
          <w:rFonts w:cstheme="minorHAnsi"/>
          <w:b/>
          <w:bCs/>
          <w:u w:val="single"/>
        </w:rPr>
        <w:t>High Density Residential (RH), Tualatin River, City of Durham</w:t>
      </w:r>
      <w:r w:rsidR="00514EF3" w:rsidRPr="00EB7D24">
        <w:rPr>
          <w:rFonts w:cstheme="minorHAnsi"/>
          <w:b/>
          <w:bCs/>
        </w:rPr>
        <w:t xml:space="preserve"> </w:t>
      </w:r>
    </w:p>
    <w:p w14:paraId="324456C3" w14:textId="48CFCD95" w:rsidR="00E26F35" w:rsidRPr="00514EF3" w:rsidRDefault="00514EF3" w:rsidP="00AC3716">
      <w:pPr>
        <w:pStyle w:val="ListParagraph"/>
        <w:numPr>
          <w:ilvl w:val="0"/>
          <w:numId w:val="14"/>
        </w:numPr>
        <w:spacing w:after="120"/>
        <w:ind w:left="1080" w:firstLine="0"/>
        <w:jc w:val="both"/>
        <w:rPr>
          <w:rFonts w:asciiTheme="minorHAnsi" w:hAnsiTheme="minorHAnsi" w:cstheme="minorHAnsi"/>
          <w:szCs w:val="22"/>
        </w:rPr>
      </w:pPr>
      <w:r w:rsidRPr="00514EF3">
        <w:rPr>
          <w:rFonts w:asciiTheme="minorHAnsi" w:hAnsiTheme="minorHAnsi" w:cstheme="minorHAnsi"/>
          <w:szCs w:val="22"/>
        </w:rPr>
        <w:t>River Lofts Apartments</w:t>
      </w:r>
    </w:p>
    <w:p w14:paraId="5DAD5172" w14:textId="2606E4F2" w:rsidR="00514EF3" w:rsidRPr="00514EF3" w:rsidRDefault="00514EF3" w:rsidP="00AC3716">
      <w:pPr>
        <w:pStyle w:val="ListParagraph"/>
        <w:numPr>
          <w:ilvl w:val="0"/>
          <w:numId w:val="14"/>
        </w:numPr>
        <w:spacing w:after="120"/>
        <w:ind w:left="1080" w:firstLine="0"/>
        <w:jc w:val="both"/>
        <w:rPr>
          <w:rFonts w:asciiTheme="minorHAnsi" w:hAnsiTheme="minorHAnsi" w:cstheme="minorHAnsi"/>
          <w:szCs w:val="22"/>
        </w:rPr>
      </w:pPr>
      <w:r w:rsidRPr="00514EF3">
        <w:rPr>
          <w:rFonts w:asciiTheme="minorHAnsi" w:hAnsiTheme="minorHAnsi" w:cstheme="minorHAnsi"/>
          <w:szCs w:val="22"/>
        </w:rPr>
        <w:t>Tualatin River Greenway, Multi-Use Trail</w:t>
      </w:r>
    </w:p>
    <w:p w14:paraId="4BA30781" w14:textId="1B8452E7" w:rsidR="00E26F35" w:rsidRPr="00514EF3" w:rsidRDefault="00E26F35" w:rsidP="00E26F35">
      <w:pPr>
        <w:tabs>
          <w:tab w:val="left" w:pos="360"/>
          <w:tab w:val="left" w:pos="1080"/>
        </w:tabs>
        <w:suppressAutoHyphens/>
        <w:jc w:val="both"/>
        <w:rPr>
          <w:rFonts w:cstheme="minorHAnsi"/>
          <w:u w:val="single"/>
        </w:rPr>
      </w:pPr>
      <w:r w:rsidRPr="00514EF3">
        <w:rPr>
          <w:rFonts w:cstheme="minorHAnsi"/>
        </w:rPr>
        <w:t xml:space="preserve">South: </w:t>
      </w:r>
      <w:r w:rsidRPr="00514EF3">
        <w:rPr>
          <w:rFonts w:cstheme="minorHAnsi"/>
        </w:rPr>
        <w:tab/>
      </w:r>
      <w:r w:rsidR="00514EF3" w:rsidRPr="00EB7D24">
        <w:rPr>
          <w:rFonts w:cstheme="minorHAnsi"/>
          <w:b/>
          <w:u w:val="single"/>
        </w:rPr>
        <w:t>Central Commercial (CC)</w:t>
      </w:r>
    </w:p>
    <w:p w14:paraId="01FB98C1" w14:textId="6E18ABF0" w:rsidR="00514EF3" w:rsidRPr="00514EF3" w:rsidRDefault="00514EF3" w:rsidP="00AC3716">
      <w:pPr>
        <w:pStyle w:val="ListParagraph"/>
        <w:numPr>
          <w:ilvl w:val="0"/>
          <w:numId w:val="14"/>
        </w:numPr>
        <w:spacing w:after="120"/>
        <w:ind w:left="1080" w:firstLine="0"/>
        <w:jc w:val="both"/>
        <w:rPr>
          <w:rFonts w:asciiTheme="minorHAnsi" w:hAnsiTheme="minorHAnsi" w:cstheme="minorHAnsi"/>
          <w:szCs w:val="22"/>
        </w:rPr>
      </w:pPr>
      <w:r w:rsidRPr="00514EF3">
        <w:rPr>
          <w:rFonts w:asciiTheme="minorHAnsi" w:hAnsiTheme="minorHAnsi" w:cstheme="minorHAnsi"/>
          <w:szCs w:val="22"/>
        </w:rPr>
        <w:t>SW Nyberg Street</w:t>
      </w:r>
    </w:p>
    <w:p w14:paraId="4863CB3D" w14:textId="375CC625" w:rsidR="00E26F35" w:rsidRPr="00514EF3" w:rsidRDefault="00514EF3" w:rsidP="00AC3716">
      <w:pPr>
        <w:pStyle w:val="ListParagraph"/>
        <w:numPr>
          <w:ilvl w:val="0"/>
          <w:numId w:val="14"/>
        </w:numPr>
        <w:spacing w:after="120"/>
        <w:ind w:left="1080" w:firstLine="0"/>
        <w:jc w:val="both"/>
        <w:rPr>
          <w:rFonts w:asciiTheme="minorHAnsi" w:hAnsiTheme="minorHAnsi" w:cstheme="minorHAnsi"/>
          <w:szCs w:val="22"/>
        </w:rPr>
      </w:pPr>
      <w:r w:rsidRPr="00514EF3">
        <w:rPr>
          <w:rFonts w:asciiTheme="minorHAnsi" w:hAnsiTheme="minorHAnsi" w:cstheme="minorHAnsi"/>
          <w:szCs w:val="22"/>
        </w:rPr>
        <w:t xml:space="preserve">Fred Meyer </w:t>
      </w:r>
    </w:p>
    <w:p w14:paraId="55068B1A" w14:textId="56D6BD5B" w:rsidR="00F256E4" w:rsidRDefault="00514EF3" w:rsidP="00981795">
      <w:pPr>
        <w:pStyle w:val="ListParagraph"/>
        <w:numPr>
          <w:ilvl w:val="0"/>
          <w:numId w:val="14"/>
        </w:numPr>
        <w:spacing w:after="120"/>
        <w:ind w:left="1080" w:firstLine="0"/>
        <w:jc w:val="both"/>
        <w:rPr>
          <w:rFonts w:asciiTheme="minorHAnsi" w:hAnsiTheme="minorHAnsi" w:cstheme="minorHAnsi"/>
          <w:szCs w:val="22"/>
        </w:rPr>
      </w:pPr>
      <w:r w:rsidRPr="00514EF3">
        <w:rPr>
          <w:rFonts w:asciiTheme="minorHAnsi" w:hAnsiTheme="minorHAnsi" w:cstheme="minorHAnsi"/>
          <w:szCs w:val="22"/>
        </w:rPr>
        <w:t xml:space="preserve">Commercial Tenants </w:t>
      </w:r>
    </w:p>
    <w:p w14:paraId="072B30FE" w14:textId="77777777" w:rsidR="00981795" w:rsidRPr="00981795" w:rsidRDefault="00981795" w:rsidP="00981795">
      <w:pPr>
        <w:pStyle w:val="ListParagraph"/>
        <w:spacing w:after="120"/>
        <w:ind w:left="1080"/>
        <w:jc w:val="both"/>
        <w:rPr>
          <w:rFonts w:asciiTheme="minorHAnsi" w:hAnsiTheme="minorHAnsi" w:cstheme="minorHAnsi"/>
          <w:szCs w:val="22"/>
        </w:rPr>
      </w:pPr>
    </w:p>
    <w:p w14:paraId="2D5681EA" w14:textId="08E85B63" w:rsidR="00E26F35" w:rsidRPr="00694B6A" w:rsidRDefault="00E26F35" w:rsidP="00E26F35">
      <w:pPr>
        <w:tabs>
          <w:tab w:val="left" w:pos="360"/>
          <w:tab w:val="left" w:pos="1080"/>
        </w:tabs>
        <w:suppressAutoHyphens/>
        <w:spacing w:before="120"/>
        <w:jc w:val="both"/>
        <w:rPr>
          <w:rFonts w:cstheme="minorHAnsi"/>
          <w:b/>
          <w:u w:val="single"/>
        </w:rPr>
      </w:pPr>
      <w:r w:rsidRPr="00514EF3">
        <w:rPr>
          <w:rFonts w:cstheme="minorHAnsi"/>
        </w:rPr>
        <w:t>West:</w:t>
      </w:r>
      <w:r w:rsidRPr="00514EF3">
        <w:rPr>
          <w:rFonts w:cstheme="minorHAnsi"/>
        </w:rPr>
        <w:tab/>
      </w:r>
      <w:r w:rsidR="00514EF3" w:rsidRPr="00694B6A">
        <w:rPr>
          <w:rFonts w:cstheme="minorHAnsi"/>
          <w:b/>
          <w:u w:val="single"/>
        </w:rPr>
        <w:t>Central Commercial (CC)</w:t>
      </w:r>
    </w:p>
    <w:p w14:paraId="0872CEA4" w14:textId="0A547830" w:rsidR="00431515" w:rsidRPr="00514EF3" w:rsidRDefault="00514EF3" w:rsidP="00514EF3">
      <w:pPr>
        <w:pStyle w:val="ListParagraph"/>
        <w:numPr>
          <w:ilvl w:val="0"/>
          <w:numId w:val="21"/>
        </w:numPr>
        <w:tabs>
          <w:tab w:val="left" w:pos="360"/>
          <w:tab w:val="left" w:pos="1080"/>
        </w:tabs>
        <w:suppressAutoHyphens/>
        <w:jc w:val="both"/>
        <w:rPr>
          <w:rFonts w:asciiTheme="minorHAnsi" w:hAnsiTheme="minorHAnsi" w:cstheme="minorHAnsi"/>
          <w:szCs w:val="22"/>
        </w:rPr>
      </w:pPr>
      <w:r w:rsidRPr="00514EF3">
        <w:rPr>
          <w:rFonts w:asciiTheme="minorHAnsi" w:hAnsiTheme="minorHAnsi" w:cstheme="minorHAnsi"/>
          <w:szCs w:val="22"/>
        </w:rPr>
        <w:t>Michaels Craft Store</w:t>
      </w:r>
    </w:p>
    <w:p w14:paraId="29E6363A" w14:textId="008075D5" w:rsidR="00514EF3" w:rsidRPr="00514EF3" w:rsidRDefault="00514EF3" w:rsidP="00514EF3">
      <w:pPr>
        <w:pStyle w:val="ListParagraph"/>
        <w:numPr>
          <w:ilvl w:val="0"/>
          <w:numId w:val="21"/>
        </w:numPr>
        <w:tabs>
          <w:tab w:val="left" w:pos="360"/>
          <w:tab w:val="left" w:pos="1080"/>
        </w:tabs>
        <w:suppressAutoHyphens/>
        <w:jc w:val="both"/>
        <w:rPr>
          <w:rFonts w:asciiTheme="minorHAnsi" w:hAnsiTheme="minorHAnsi" w:cstheme="minorHAnsi"/>
          <w:szCs w:val="22"/>
        </w:rPr>
      </w:pPr>
      <w:r w:rsidRPr="00514EF3">
        <w:rPr>
          <w:rFonts w:asciiTheme="minorHAnsi" w:hAnsiTheme="minorHAnsi" w:cstheme="minorHAnsi"/>
          <w:szCs w:val="22"/>
        </w:rPr>
        <w:t xml:space="preserve">Commercial Tenants </w:t>
      </w:r>
    </w:p>
    <w:p w14:paraId="39B9D275" w14:textId="1551D7EC" w:rsidR="00514EF3" w:rsidRPr="00514EF3" w:rsidRDefault="00514EF3" w:rsidP="00514EF3">
      <w:pPr>
        <w:pStyle w:val="ListParagraph"/>
        <w:tabs>
          <w:tab w:val="left" w:pos="360"/>
          <w:tab w:val="left" w:pos="1080"/>
        </w:tabs>
        <w:suppressAutoHyphens/>
        <w:ind w:left="1440"/>
        <w:jc w:val="both"/>
        <w:rPr>
          <w:rFonts w:asciiTheme="minorHAnsi" w:hAnsiTheme="minorHAnsi" w:cstheme="minorHAnsi"/>
          <w:szCs w:val="22"/>
        </w:rPr>
      </w:pPr>
    </w:p>
    <w:p w14:paraId="2AC27F09" w14:textId="4B0CE342" w:rsidR="00E26F35" w:rsidRPr="00514EF3" w:rsidRDefault="00E26F35" w:rsidP="00E26F35">
      <w:pPr>
        <w:tabs>
          <w:tab w:val="left" w:pos="360"/>
          <w:tab w:val="left" w:pos="1080"/>
        </w:tabs>
        <w:suppressAutoHyphens/>
        <w:jc w:val="both"/>
        <w:rPr>
          <w:rFonts w:cstheme="minorHAnsi"/>
          <w:u w:val="single"/>
        </w:rPr>
      </w:pPr>
      <w:r w:rsidRPr="00514EF3">
        <w:rPr>
          <w:rFonts w:cstheme="minorHAnsi"/>
          <w:bCs/>
        </w:rPr>
        <w:t>East:</w:t>
      </w:r>
      <w:r w:rsidRPr="00514EF3">
        <w:rPr>
          <w:rFonts w:cstheme="minorHAnsi"/>
          <w:bCs/>
        </w:rPr>
        <w:tab/>
      </w:r>
      <w:r w:rsidR="00514EF3" w:rsidRPr="00694B6A">
        <w:rPr>
          <w:rFonts w:cstheme="minorHAnsi"/>
          <w:b/>
          <w:u w:val="single"/>
        </w:rPr>
        <w:t>General Commercial (CG)</w:t>
      </w:r>
    </w:p>
    <w:p w14:paraId="626124D6" w14:textId="77492B3B" w:rsidR="00D94A15" w:rsidRDefault="00514EF3" w:rsidP="00D94A15">
      <w:pPr>
        <w:pStyle w:val="ListParagraph"/>
        <w:numPr>
          <w:ilvl w:val="0"/>
          <w:numId w:val="14"/>
        </w:numPr>
        <w:spacing w:after="120"/>
        <w:ind w:left="1080" w:firstLine="0"/>
        <w:jc w:val="both"/>
        <w:rPr>
          <w:rFonts w:asciiTheme="minorHAnsi" w:hAnsiTheme="minorHAnsi" w:cstheme="minorHAnsi"/>
          <w:szCs w:val="22"/>
        </w:rPr>
      </w:pPr>
      <w:r w:rsidRPr="00514EF3">
        <w:rPr>
          <w:rFonts w:asciiTheme="minorHAnsi" w:hAnsiTheme="minorHAnsi" w:cstheme="minorHAnsi"/>
          <w:szCs w:val="22"/>
        </w:rPr>
        <w:t>Interstate 5</w:t>
      </w:r>
    </w:p>
    <w:p w14:paraId="477D786D" w14:textId="5ADB21A0" w:rsidR="00D94A15" w:rsidRPr="00D94A15" w:rsidRDefault="00514EF3" w:rsidP="00D94A15">
      <w:pPr>
        <w:pStyle w:val="ListParagraph"/>
        <w:numPr>
          <w:ilvl w:val="0"/>
          <w:numId w:val="14"/>
        </w:numPr>
        <w:spacing w:after="120"/>
        <w:ind w:left="1080" w:firstLine="0"/>
        <w:jc w:val="both"/>
        <w:rPr>
          <w:rFonts w:asciiTheme="minorHAnsi" w:hAnsiTheme="minorHAnsi" w:cstheme="minorHAnsi"/>
          <w:szCs w:val="22"/>
        </w:rPr>
      </w:pPr>
      <w:r w:rsidRPr="00D94A15">
        <w:rPr>
          <w:rFonts w:asciiTheme="minorHAnsi" w:hAnsiTheme="minorHAnsi" w:cstheme="minorHAnsi"/>
          <w:szCs w:val="22"/>
        </w:rPr>
        <w:t>Nyberg Woods Shopping Center</w:t>
      </w:r>
    </w:p>
    <w:p w14:paraId="7183A8A4" w14:textId="55A3B35C" w:rsidR="003D57C6" w:rsidRPr="00214404" w:rsidRDefault="003D57C6" w:rsidP="006B3753">
      <w:bookmarkStart w:id="6" w:name="_Toc56073802"/>
    </w:p>
    <w:p w14:paraId="143C8F0D" w14:textId="1DEBAB5A" w:rsidR="00FE183E" w:rsidRPr="00214404" w:rsidRDefault="00FE183E" w:rsidP="004476D6">
      <w:pPr>
        <w:pStyle w:val="Heading2"/>
      </w:pPr>
      <w:r w:rsidRPr="00214404">
        <w:t>Exhibit List</w:t>
      </w:r>
      <w:bookmarkEnd w:id="6"/>
    </w:p>
    <w:p w14:paraId="5A982C36" w14:textId="63125223" w:rsidR="00697000" w:rsidRPr="0034191F" w:rsidRDefault="00003441" w:rsidP="00697000">
      <w:pPr>
        <w:overflowPunct/>
        <w:autoSpaceDE/>
        <w:autoSpaceDN/>
        <w:adjustRightInd/>
        <w:ind w:firstLine="540"/>
        <w:textAlignment w:val="auto"/>
        <w:rPr>
          <w:rFonts w:cs="Calibri"/>
          <w:color w:val="000000" w:themeColor="text1"/>
          <w:szCs w:val="22"/>
        </w:rPr>
      </w:pPr>
      <w:r w:rsidRPr="0034191F">
        <w:rPr>
          <w:rFonts w:cs="Calibri"/>
          <w:color w:val="000000" w:themeColor="text1"/>
          <w:szCs w:val="22"/>
        </w:rPr>
        <w:t xml:space="preserve">Exhibit </w:t>
      </w:r>
      <w:r w:rsidR="00A322AA" w:rsidRPr="0034191F">
        <w:rPr>
          <w:rFonts w:cs="Calibri"/>
          <w:color w:val="000000" w:themeColor="text1"/>
          <w:szCs w:val="22"/>
        </w:rPr>
        <w:t xml:space="preserve">A: </w:t>
      </w:r>
      <w:r w:rsidR="0056429F" w:rsidRPr="0034191F">
        <w:rPr>
          <w:rFonts w:cs="Calibri"/>
          <w:color w:val="000000" w:themeColor="text1"/>
          <w:szCs w:val="22"/>
        </w:rPr>
        <w:t xml:space="preserve">Application &amp; </w:t>
      </w:r>
      <w:r w:rsidR="00697000" w:rsidRPr="0034191F">
        <w:rPr>
          <w:rFonts w:cs="Calibri"/>
          <w:color w:val="000000" w:themeColor="text1"/>
          <w:szCs w:val="22"/>
        </w:rPr>
        <w:t>Narrative</w:t>
      </w:r>
    </w:p>
    <w:p w14:paraId="1AE5006B" w14:textId="7606493D" w:rsidR="00697000" w:rsidRPr="0034191F" w:rsidRDefault="00003441" w:rsidP="00697000">
      <w:pPr>
        <w:overflowPunct/>
        <w:autoSpaceDE/>
        <w:autoSpaceDN/>
        <w:adjustRightInd/>
        <w:ind w:firstLine="540"/>
        <w:textAlignment w:val="auto"/>
        <w:rPr>
          <w:rFonts w:cs="Calibri"/>
          <w:color w:val="000000" w:themeColor="text1"/>
          <w:szCs w:val="22"/>
        </w:rPr>
      </w:pPr>
      <w:r w:rsidRPr="0034191F">
        <w:rPr>
          <w:rFonts w:cs="Calibri"/>
          <w:color w:val="000000" w:themeColor="text1"/>
          <w:szCs w:val="22"/>
        </w:rPr>
        <w:t xml:space="preserve">Exhibit </w:t>
      </w:r>
      <w:r w:rsidR="006011C8" w:rsidRPr="0034191F">
        <w:rPr>
          <w:rFonts w:cs="Calibri"/>
          <w:color w:val="000000" w:themeColor="text1"/>
          <w:szCs w:val="22"/>
        </w:rPr>
        <w:t>B:</w:t>
      </w:r>
      <w:r w:rsidR="00CF7B47" w:rsidRPr="0034191F">
        <w:rPr>
          <w:rFonts w:cs="Calibri"/>
          <w:color w:val="000000" w:themeColor="text1"/>
          <w:szCs w:val="22"/>
        </w:rPr>
        <w:t xml:space="preserve"> </w:t>
      </w:r>
      <w:r w:rsidR="0034191F" w:rsidRPr="0034191F">
        <w:rPr>
          <w:rFonts w:cs="Calibri"/>
          <w:color w:val="000000" w:themeColor="text1"/>
          <w:szCs w:val="22"/>
        </w:rPr>
        <w:t xml:space="preserve">Revised </w:t>
      </w:r>
      <w:r w:rsidR="00EF0312">
        <w:rPr>
          <w:rFonts w:cs="Calibri"/>
          <w:color w:val="000000" w:themeColor="text1"/>
          <w:szCs w:val="22"/>
        </w:rPr>
        <w:t>Sign Proposal</w:t>
      </w:r>
      <w:r w:rsidR="0034191F" w:rsidRPr="0034191F">
        <w:rPr>
          <w:rFonts w:cs="Calibri"/>
          <w:color w:val="000000" w:themeColor="text1"/>
          <w:szCs w:val="22"/>
        </w:rPr>
        <w:t xml:space="preserve"> &amp; Description</w:t>
      </w:r>
    </w:p>
    <w:p w14:paraId="1AD1698C" w14:textId="17D70F96" w:rsidR="00CF7B47" w:rsidRPr="00CF7B47" w:rsidRDefault="00003441" w:rsidP="00CF7B47">
      <w:pPr>
        <w:overflowPunct/>
        <w:autoSpaceDE/>
        <w:autoSpaceDN/>
        <w:adjustRightInd/>
        <w:ind w:firstLine="540"/>
        <w:textAlignment w:val="auto"/>
        <w:rPr>
          <w:rFonts w:cs="Calibri"/>
          <w:color w:val="000000" w:themeColor="text1"/>
          <w:szCs w:val="22"/>
        </w:rPr>
      </w:pPr>
      <w:r w:rsidRPr="0034191F">
        <w:rPr>
          <w:rFonts w:cs="Calibri"/>
          <w:color w:val="000000" w:themeColor="text1"/>
          <w:szCs w:val="22"/>
        </w:rPr>
        <w:t xml:space="preserve">Exhibit </w:t>
      </w:r>
      <w:r w:rsidR="00CF7B47" w:rsidRPr="0034191F">
        <w:rPr>
          <w:rFonts w:cs="Calibri"/>
          <w:color w:val="000000" w:themeColor="text1"/>
          <w:szCs w:val="22"/>
        </w:rPr>
        <w:t>C: Sign Renderings &amp;</w:t>
      </w:r>
      <w:r w:rsidR="00CF7B47" w:rsidRPr="00CF7B47">
        <w:rPr>
          <w:rFonts w:cs="Calibri"/>
          <w:color w:val="000000" w:themeColor="text1"/>
          <w:szCs w:val="22"/>
        </w:rPr>
        <w:t xml:space="preserve"> Site Photos</w:t>
      </w:r>
    </w:p>
    <w:p w14:paraId="74F1EBD8" w14:textId="03A0BE53" w:rsidR="00697000" w:rsidRPr="00CF7B47" w:rsidRDefault="00003441" w:rsidP="00A322AA">
      <w:pPr>
        <w:overflowPunct/>
        <w:autoSpaceDE/>
        <w:autoSpaceDN/>
        <w:adjustRightInd/>
        <w:ind w:firstLine="540"/>
        <w:textAlignment w:val="auto"/>
        <w:rPr>
          <w:rFonts w:cs="Calibri"/>
          <w:color w:val="000000" w:themeColor="text1"/>
          <w:szCs w:val="22"/>
        </w:rPr>
      </w:pPr>
      <w:r>
        <w:rPr>
          <w:rFonts w:cs="Calibri"/>
          <w:color w:val="000000" w:themeColor="text1"/>
          <w:szCs w:val="22"/>
        </w:rPr>
        <w:t xml:space="preserve">Exhibit </w:t>
      </w:r>
      <w:r w:rsidR="00CF7B47" w:rsidRPr="00CF7B47">
        <w:rPr>
          <w:rFonts w:cs="Calibri"/>
          <w:color w:val="000000" w:themeColor="text1"/>
          <w:szCs w:val="22"/>
        </w:rPr>
        <w:t>D</w:t>
      </w:r>
      <w:r w:rsidR="006011C8" w:rsidRPr="00CF7B47">
        <w:rPr>
          <w:rFonts w:cs="Calibri"/>
          <w:color w:val="000000" w:themeColor="text1"/>
          <w:szCs w:val="22"/>
        </w:rPr>
        <w:t>:</w:t>
      </w:r>
      <w:r w:rsidR="00697000" w:rsidRPr="00CF7B47">
        <w:rPr>
          <w:rFonts w:cs="Calibri"/>
          <w:color w:val="000000" w:themeColor="text1"/>
          <w:szCs w:val="22"/>
        </w:rPr>
        <w:t xml:space="preserve"> Supporting Documents</w:t>
      </w:r>
    </w:p>
    <w:p w14:paraId="02D8D117" w14:textId="64EEE66F" w:rsidR="001B6952" w:rsidRPr="00CF7B47" w:rsidRDefault="00003441" w:rsidP="00A322AA">
      <w:pPr>
        <w:overflowPunct/>
        <w:autoSpaceDE/>
        <w:autoSpaceDN/>
        <w:adjustRightInd/>
        <w:ind w:firstLine="540"/>
        <w:textAlignment w:val="auto"/>
        <w:rPr>
          <w:rFonts w:cs="Calibri"/>
          <w:color w:val="000000" w:themeColor="text1"/>
          <w:szCs w:val="22"/>
        </w:rPr>
      </w:pPr>
      <w:r>
        <w:rPr>
          <w:rFonts w:cs="Calibri"/>
          <w:color w:val="000000" w:themeColor="text1"/>
          <w:szCs w:val="22"/>
        </w:rPr>
        <w:t xml:space="preserve">Exhibit </w:t>
      </w:r>
      <w:r w:rsidR="00CF7B47" w:rsidRPr="00CF7B47">
        <w:rPr>
          <w:rFonts w:cs="Calibri"/>
          <w:color w:val="000000" w:themeColor="text1"/>
          <w:szCs w:val="22"/>
        </w:rPr>
        <w:t>E: Public Notice</w:t>
      </w:r>
    </w:p>
    <w:p w14:paraId="26398D22" w14:textId="6269B760" w:rsidR="00CF7B47" w:rsidRDefault="00003441" w:rsidP="00A322AA">
      <w:pPr>
        <w:overflowPunct/>
        <w:autoSpaceDE/>
        <w:autoSpaceDN/>
        <w:adjustRightInd/>
        <w:ind w:firstLine="540"/>
        <w:textAlignment w:val="auto"/>
        <w:rPr>
          <w:rFonts w:cs="Calibri"/>
          <w:color w:val="000000" w:themeColor="text1"/>
          <w:szCs w:val="22"/>
        </w:rPr>
      </w:pPr>
      <w:r>
        <w:rPr>
          <w:rFonts w:cs="Calibri"/>
          <w:color w:val="000000" w:themeColor="text1"/>
          <w:szCs w:val="22"/>
        </w:rPr>
        <w:lastRenderedPageBreak/>
        <w:t xml:space="preserve">Exhibit </w:t>
      </w:r>
      <w:r w:rsidR="00CF7B47" w:rsidRPr="00CF7B47">
        <w:rPr>
          <w:rFonts w:cs="Calibri"/>
          <w:color w:val="000000" w:themeColor="text1"/>
          <w:szCs w:val="22"/>
        </w:rPr>
        <w:t xml:space="preserve">F: </w:t>
      </w:r>
      <w:r w:rsidR="00286BA8">
        <w:rPr>
          <w:rFonts w:cs="Calibri"/>
          <w:color w:val="000000" w:themeColor="text1"/>
          <w:szCs w:val="22"/>
        </w:rPr>
        <w:t xml:space="preserve">Nyberg Rivers </w:t>
      </w:r>
      <w:r w:rsidR="00CF7B47" w:rsidRPr="00CF7B47">
        <w:rPr>
          <w:rFonts w:cs="Calibri"/>
          <w:color w:val="000000" w:themeColor="text1"/>
          <w:szCs w:val="22"/>
        </w:rPr>
        <w:t>Architectural Review 13-07</w:t>
      </w:r>
    </w:p>
    <w:p w14:paraId="455B4DE3" w14:textId="76C2B3F6" w:rsidR="00003441" w:rsidRDefault="00003441" w:rsidP="00A322AA">
      <w:pPr>
        <w:overflowPunct/>
        <w:autoSpaceDE/>
        <w:autoSpaceDN/>
        <w:adjustRightInd/>
        <w:ind w:firstLine="540"/>
        <w:textAlignment w:val="auto"/>
        <w:rPr>
          <w:rFonts w:cs="Calibri"/>
          <w:color w:val="000000" w:themeColor="text1"/>
          <w:szCs w:val="22"/>
        </w:rPr>
      </w:pPr>
      <w:r>
        <w:rPr>
          <w:rFonts w:cs="Calibri"/>
          <w:color w:val="000000" w:themeColor="text1"/>
          <w:szCs w:val="22"/>
        </w:rPr>
        <w:t>Exhibit G: Cabela’s Sign Variance 14-01</w:t>
      </w:r>
    </w:p>
    <w:p w14:paraId="72177413" w14:textId="2D4C0F4D" w:rsidR="00003441" w:rsidRDefault="00003441" w:rsidP="00A322AA">
      <w:pPr>
        <w:overflowPunct/>
        <w:autoSpaceDE/>
        <w:autoSpaceDN/>
        <w:adjustRightInd/>
        <w:ind w:firstLine="540"/>
        <w:textAlignment w:val="auto"/>
        <w:rPr>
          <w:rFonts w:cs="Calibri"/>
          <w:color w:val="000000" w:themeColor="text1"/>
          <w:szCs w:val="22"/>
        </w:rPr>
      </w:pPr>
      <w:r>
        <w:rPr>
          <w:rFonts w:cs="Calibri"/>
          <w:color w:val="000000" w:themeColor="text1"/>
          <w:szCs w:val="22"/>
        </w:rPr>
        <w:t>Exhibit H: Cabela’s Sign Variance 15-01</w:t>
      </w:r>
    </w:p>
    <w:p w14:paraId="00936622" w14:textId="77777777" w:rsidR="00003441" w:rsidRPr="00CF7B47" w:rsidRDefault="00003441" w:rsidP="00A322AA">
      <w:pPr>
        <w:overflowPunct/>
        <w:autoSpaceDE/>
        <w:autoSpaceDN/>
        <w:adjustRightInd/>
        <w:ind w:firstLine="540"/>
        <w:textAlignment w:val="auto"/>
        <w:rPr>
          <w:rFonts w:cs="Calibri"/>
          <w:color w:val="000000" w:themeColor="text1"/>
          <w:szCs w:val="22"/>
        </w:rPr>
      </w:pPr>
    </w:p>
    <w:p w14:paraId="645FFD64" w14:textId="40906B3B" w:rsidR="007D64DE" w:rsidRDefault="007D64DE" w:rsidP="00CF7B47">
      <w:pPr>
        <w:overflowPunct/>
        <w:autoSpaceDE/>
        <w:autoSpaceDN/>
        <w:adjustRightInd/>
        <w:ind w:firstLine="540"/>
        <w:textAlignment w:val="auto"/>
        <w:rPr>
          <w:rFonts w:cs="Calibri"/>
          <w:color w:val="000000" w:themeColor="text1"/>
          <w:szCs w:val="22"/>
        </w:rPr>
      </w:pPr>
    </w:p>
    <w:p w14:paraId="7F6E8BA0" w14:textId="58689E61" w:rsidR="00CF7B47" w:rsidRDefault="00CF7B47" w:rsidP="00CF7B47">
      <w:pPr>
        <w:overflowPunct/>
        <w:autoSpaceDE/>
        <w:autoSpaceDN/>
        <w:adjustRightInd/>
        <w:ind w:firstLine="540"/>
        <w:textAlignment w:val="auto"/>
        <w:rPr>
          <w:rFonts w:cs="Calibri"/>
          <w:color w:val="000000" w:themeColor="text1"/>
          <w:szCs w:val="22"/>
        </w:rPr>
      </w:pPr>
    </w:p>
    <w:p w14:paraId="4090D43E" w14:textId="6E24A0F7" w:rsidR="00CF7B47" w:rsidRDefault="00CF7B47" w:rsidP="00CF7B47">
      <w:pPr>
        <w:overflowPunct/>
        <w:autoSpaceDE/>
        <w:autoSpaceDN/>
        <w:adjustRightInd/>
        <w:ind w:firstLine="540"/>
        <w:textAlignment w:val="auto"/>
        <w:rPr>
          <w:rFonts w:cs="Calibri"/>
          <w:color w:val="000000" w:themeColor="text1"/>
          <w:szCs w:val="22"/>
        </w:rPr>
      </w:pPr>
    </w:p>
    <w:p w14:paraId="0E401147" w14:textId="6D953DFF" w:rsidR="00CF7B47" w:rsidRDefault="00CF7B47" w:rsidP="00CF7B47">
      <w:pPr>
        <w:overflowPunct/>
        <w:autoSpaceDE/>
        <w:autoSpaceDN/>
        <w:adjustRightInd/>
        <w:ind w:firstLine="540"/>
        <w:textAlignment w:val="auto"/>
        <w:rPr>
          <w:rFonts w:cs="Calibri"/>
          <w:color w:val="000000" w:themeColor="text1"/>
          <w:szCs w:val="22"/>
        </w:rPr>
      </w:pPr>
    </w:p>
    <w:p w14:paraId="11786324" w14:textId="043C4E14" w:rsidR="00CF7B47" w:rsidRDefault="00CF7B47" w:rsidP="00CF7B47">
      <w:pPr>
        <w:overflowPunct/>
        <w:autoSpaceDE/>
        <w:autoSpaceDN/>
        <w:adjustRightInd/>
        <w:ind w:firstLine="540"/>
        <w:textAlignment w:val="auto"/>
        <w:rPr>
          <w:rFonts w:cs="Calibri"/>
          <w:color w:val="000000" w:themeColor="text1"/>
          <w:szCs w:val="22"/>
        </w:rPr>
      </w:pPr>
    </w:p>
    <w:p w14:paraId="188C07EB" w14:textId="1A89133D" w:rsidR="00CF7B47" w:rsidRDefault="00CF7B47" w:rsidP="00CF7B47">
      <w:pPr>
        <w:overflowPunct/>
        <w:autoSpaceDE/>
        <w:autoSpaceDN/>
        <w:adjustRightInd/>
        <w:ind w:firstLine="540"/>
        <w:textAlignment w:val="auto"/>
        <w:rPr>
          <w:rFonts w:cs="Calibri"/>
          <w:color w:val="000000" w:themeColor="text1"/>
          <w:szCs w:val="22"/>
        </w:rPr>
      </w:pPr>
    </w:p>
    <w:p w14:paraId="17B3C947" w14:textId="5D562EAC" w:rsidR="00CF7B47" w:rsidRDefault="00CF7B47" w:rsidP="00CF7B47">
      <w:pPr>
        <w:overflowPunct/>
        <w:autoSpaceDE/>
        <w:autoSpaceDN/>
        <w:adjustRightInd/>
        <w:ind w:firstLine="540"/>
        <w:textAlignment w:val="auto"/>
        <w:rPr>
          <w:rFonts w:cs="Calibri"/>
          <w:color w:val="000000" w:themeColor="text1"/>
          <w:szCs w:val="22"/>
        </w:rPr>
      </w:pPr>
    </w:p>
    <w:p w14:paraId="4E496130" w14:textId="5545284F" w:rsidR="00CF7B47" w:rsidRDefault="00CF7B47" w:rsidP="00CF7B47">
      <w:pPr>
        <w:overflowPunct/>
        <w:autoSpaceDE/>
        <w:autoSpaceDN/>
        <w:adjustRightInd/>
        <w:ind w:firstLine="540"/>
        <w:textAlignment w:val="auto"/>
        <w:rPr>
          <w:rFonts w:cs="Calibri"/>
          <w:color w:val="000000" w:themeColor="text1"/>
          <w:szCs w:val="22"/>
        </w:rPr>
      </w:pPr>
    </w:p>
    <w:p w14:paraId="59284E57" w14:textId="2D683504" w:rsidR="00CF7B47" w:rsidRDefault="00CF7B47" w:rsidP="00CF7B47">
      <w:pPr>
        <w:overflowPunct/>
        <w:autoSpaceDE/>
        <w:autoSpaceDN/>
        <w:adjustRightInd/>
        <w:ind w:firstLine="540"/>
        <w:textAlignment w:val="auto"/>
        <w:rPr>
          <w:rFonts w:cs="Calibri"/>
          <w:color w:val="000000" w:themeColor="text1"/>
          <w:szCs w:val="22"/>
        </w:rPr>
      </w:pPr>
    </w:p>
    <w:p w14:paraId="11C6AFCD" w14:textId="4F79557D" w:rsidR="00CF7B47" w:rsidRDefault="00CF7B47" w:rsidP="00CF7B47">
      <w:pPr>
        <w:overflowPunct/>
        <w:autoSpaceDE/>
        <w:autoSpaceDN/>
        <w:adjustRightInd/>
        <w:ind w:firstLine="540"/>
        <w:textAlignment w:val="auto"/>
        <w:rPr>
          <w:rFonts w:cs="Calibri"/>
          <w:color w:val="000000" w:themeColor="text1"/>
          <w:szCs w:val="22"/>
        </w:rPr>
      </w:pPr>
    </w:p>
    <w:p w14:paraId="7CD18DB3" w14:textId="79D85BB7" w:rsidR="00CF7B47" w:rsidRDefault="00CF7B47" w:rsidP="00CF7B47">
      <w:pPr>
        <w:overflowPunct/>
        <w:autoSpaceDE/>
        <w:autoSpaceDN/>
        <w:adjustRightInd/>
        <w:ind w:firstLine="540"/>
        <w:textAlignment w:val="auto"/>
        <w:rPr>
          <w:rFonts w:cs="Calibri"/>
          <w:color w:val="000000" w:themeColor="text1"/>
          <w:szCs w:val="22"/>
        </w:rPr>
      </w:pPr>
    </w:p>
    <w:p w14:paraId="7C4365A7" w14:textId="25173764" w:rsidR="00CF7B47" w:rsidRDefault="00CF7B47" w:rsidP="00CF7B47">
      <w:pPr>
        <w:overflowPunct/>
        <w:autoSpaceDE/>
        <w:autoSpaceDN/>
        <w:adjustRightInd/>
        <w:ind w:firstLine="540"/>
        <w:textAlignment w:val="auto"/>
        <w:rPr>
          <w:rFonts w:cs="Calibri"/>
          <w:color w:val="000000" w:themeColor="text1"/>
          <w:szCs w:val="22"/>
        </w:rPr>
      </w:pPr>
    </w:p>
    <w:p w14:paraId="06B4AB8F" w14:textId="57D724CD" w:rsidR="00CF7B47" w:rsidRDefault="00CF7B47" w:rsidP="00CF7B47">
      <w:pPr>
        <w:overflowPunct/>
        <w:autoSpaceDE/>
        <w:autoSpaceDN/>
        <w:adjustRightInd/>
        <w:ind w:firstLine="540"/>
        <w:textAlignment w:val="auto"/>
        <w:rPr>
          <w:rFonts w:cs="Calibri"/>
          <w:color w:val="000000" w:themeColor="text1"/>
          <w:szCs w:val="22"/>
        </w:rPr>
      </w:pPr>
    </w:p>
    <w:p w14:paraId="73ABA4A9" w14:textId="7BE5BC9B" w:rsidR="00CF7B47" w:rsidRDefault="00CF7B47" w:rsidP="00CF7B47">
      <w:pPr>
        <w:overflowPunct/>
        <w:autoSpaceDE/>
        <w:autoSpaceDN/>
        <w:adjustRightInd/>
        <w:ind w:firstLine="540"/>
        <w:textAlignment w:val="auto"/>
        <w:rPr>
          <w:rFonts w:cs="Calibri"/>
          <w:color w:val="000000" w:themeColor="text1"/>
          <w:szCs w:val="22"/>
        </w:rPr>
      </w:pPr>
    </w:p>
    <w:p w14:paraId="37817DE5" w14:textId="28065CD3" w:rsidR="00CF7B47" w:rsidRDefault="00CF7B47" w:rsidP="00CF7B47">
      <w:pPr>
        <w:overflowPunct/>
        <w:autoSpaceDE/>
        <w:autoSpaceDN/>
        <w:adjustRightInd/>
        <w:ind w:firstLine="540"/>
        <w:textAlignment w:val="auto"/>
        <w:rPr>
          <w:rFonts w:cs="Calibri"/>
          <w:color w:val="000000" w:themeColor="text1"/>
          <w:szCs w:val="22"/>
        </w:rPr>
      </w:pPr>
    </w:p>
    <w:p w14:paraId="1723DA87" w14:textId="1F21A600" w:rsidR="00CF7B47" w:rsidRDefault="00CF7B47" w:rsidP="00CF7B47">
      <w:pPr>
        <w:overflowPunct/>
        <w:autoSpaceDE/>
        <w:autoSpaceDN/>
        <w:adjustRightInd/>
        <w:ind w:firstLine="540"/>
        <w:textAlignment w:val="auto"/>
        <w:rPr>
          <w:rFonts w:cs="Calibri"/>
          <w:color w:val="000000" w:themeColor="text1"/>
          <w:szCs w:val="22"/>
        </w:rPr>
      </w:pPr>
    </w:p>
    <w:p w14:paraId="68EA1495" w14:textId="41F45F16" w:rsidR="00CF7B47" w:rsidRDefault="00CF7B47" w:rsidP="00CF7B47">
      <w:pPr>
        <w:overflowPunct/>
        <w:autoSpaceDE/>
        <w:autoSpaceDN/>
        <w:adjustRightInd/>
        <w:ind w:firstLine="540"/>
        <w:textAlignment w:val="auto"/>
        <w:rPr>
          <w:rFonts w:cs="Calibri"/>
          <w:color w:val="000000" w:themeColor="text1"/>
          <w:szCs w:val="22"/>
        </w:rPr>
      </w:pPr>
    </w:p>
    <w:p w14:paraId="56F0A0AA" w14:textId="0EF85F32" w:rsidR="00CF7B47" w:rsidRDefault="00CF7B47" w:rsidP="00CF7B47">
      <w:pPr>
        <w:overflowPunct/>
        <w:autoSpaceDE/>
        <w:autoSpaceDN/>
        <w:adjustRightInd/>
        <w:ind w:firstLine="540"/>
        <w:textAlignment w:val="auto"/>
        <w:rPr>
          <w:rFonts w:cs="Calibri"/>
          <w:color w:val="000000" w:themeColor="text1"/>
          <w:szCs w:val="22"/>
        </w:rPr>
      </w:pPr>
    </w:p>
    <w:p w14:paraId="6968B0AB" w14:textId="75F30550" w:rsidR="00CF7B47" w:rsidRDefault="00CF7B47" w:rsidP="00CF7B47">
      <w:pPr>
        <w:overflowPunct/>
        <w:autoSpaceDE/>
        <w:autoSpaceDN/>
        <w:adjustRightInd/>
        <w:ind w:firstLine="540"/>
        <w:textAlignment w:val="auto"/>
        <w:rPr>
          <w:rFonts w:cs="Calibri"/>
          <w:color w:val="000000" w:themeColor="text1"/>
          <w:szCs w:val="22"/>
        </w:rPr>
      </w:pPr>
    </w:p>
    <w:p w14:paraId="071FC62D" w14:textId="3D1386A3" w:rsidR="00CF7B47" w:rsidRDefault="00CF7B47" w:rsidP="00CF7B47">
      <w:pPr>
        <w:overflowPunct/>
        <w:autoSpaceDE/>
        <w:autoSpaceDN/>
        <w:adjustRightInd/>
        <w:ind w:firstLine="540"/>
        <w:textAlignment w:val="auto"/>
        <w:rPr>
          <w:rFonts w:cs="Calibri"/>
          <w:color w:val="000000" w:themeColor="text1"/>
          <w:szCs w:val="22"/>
        </w:rPr>
      </w:pPr>
    </w:p>
    <w:p w14:paraId="3120EF83" w14:textId="29EA717F" w:rsidR="00CF7B47" w:rsidRDefault="00CF7B47" w:rsidP="00CF7B47">
      <w:pPr>
        <w:overflowPunct/>
        <w:autoSpaceDE/>
        <w:autoSpaceDN/>
        <w:adjustRightInd/>
        <w:ind w:firstLine="540"/>
        <w:textAlignment w:val="auto"/>
        <w:rPr>
          <w:rFonts w:cs="Calibri"/>
          <w:color w:val="000000" w:themeColor="text1"/>
          <w:szCs w:val="22"/>
        </w:rPr>
      </w:pPr>
    </w:p>
    <w:p w14:paraId="2210E3BD" w14:textId="29AE517C" w:rsidR="00CF7B47" w:rsidRDefault="00CF7B47" w:rsidP="00CF7B47">
      <w:pPr>
        <w:overflowPunct/>
        <w:autoSpaceDE/>
        <w:autoSpaceDN/>
        <w:adjustRightInd/>
        <w:ind w:firstLine="540"/>
        <w:textAlignment w:val="auto"/>
        <w:rPr>
          <w:rFonts w:cs="Calibri"/>
          <w:color w:val="000000" w:themeColor="text1"/>
          <w:szCs w:val="22"/>
        </w:rPr>
      </w:pPr>
    </w:p>
    <w:p w14:paraId="1F78BE4B" w14:textId="6F8200D7" w:rsidR="00A44076" w:rsidRDefault="00A44076" w:rsidP="00CF7B47">
      <w:pPr>
        <w:overflowPunct/>
        <w:autoSpaceDE/>
        <w:autoSpaceDN/>
        <w:adjustRightInd/>
        <w:ind w:firstLine="540"/>
        <w:textAlignment w:val="auto"/>
        <w:rPr>
          <w:rFonts w:cs="Calibri"/>
          <w:color w:val="000000" w:themeColor="text1"/>
          <w:szCs w:val="22"/>
        </w:rPr>
      </w:pPr>
    </w:p>
    <w:p w14:paraId="69673383" w14:textId="55463839" w:rsidR="00A44076" w:rsidRDefault="00A44076" w:rsidP="00CF7B47">
      <w:pPr>
        <w:overflowPunct/>
        <w:autoSpaceDE/>
        <w:autoSpaceDN/>
        <w:adjustRightInd/>
        <w:ind w:firstLine="540"/>
        <w:textAlignment w:val="auto"/>
        <w:rPr>
          <w:rFonts w:cs="Calibri"/>
          <w:color w:val="000000" w:themeColor="text1"/>
          <w:szCs w:val="22"/>
        </w:rPr>
      </w:pPr>
    </w:p>
    <w:p w14:paraId="01E7D0DB" w14:textId="52B76826" w:rsidR="00A44076" w:rsidRDefault="00A44076" w:rsidP="00CF7B47">
      <w:pPr>
        <w:overflowPunct/>
        <w:autoSpaceDE/>
        <w:autoSpaceDN/>
        <w:adjustRightInd/>
        <w:ind w:firstLine="540"/>
        <w:textAlignment w:val="auto"/>
        <w:rPr>
          <w:rFonts w:cs="Calibri"/>
          <w:color w:val="000000" w:themeColor="text1"/>
          <w:szCs w:val="22"/>
        </w:rPr>
      </w:pPr>
    </w:p>
    <w:p w14:paraId="61234EB2" w14:textId="06A5161A" w:rsidR="00A44076" w:rsidRDefault="00A44076" w:rsidP="00CF7B47">
      <w:pPr>
        <w:overflowPunct/>
        <w:autoSpaceDE/>
        <w:autoSpaceDN/>
        <w:adjustRightInd/>
        <w:ind w:firstLine="540"/>
        <w:textAlignment w:val="auto"/>
        <w:rPr>
          <w:rFonts w:cs="Calibri"/>
          <w:color w:val="000000" w:themeColor="text1"/>
          <w:szCs w:val="22"/>
        </w:rPr>
      </w:pPr>
    </w:p>
    <w:p w14:paraId="064DA3D0" w14:textId="7A0A36BA" w:rsidR="00A44076" w:rsidRDefault="00A44076" w:rsidP="00CF7B47">
      <w:pPr>
        <w:overflowPunct/>
        <w:autoSpaceDE/>
        <w:autoSpaceDN/>
        <w:adjustRightInd/>
        <w:ind w:firstLine="540"/>
        <w:textAlignment w:val="auto"/>
        <w:rPr>
          <w:rFonts w:cs="Calibri"/>
          <w:color w:val="000000" w:themeColor="text1"/>
          <w:szCs w:val="22"/>
        </w:rPr>
      </w:pPr>
    </w:p>
    <w:p w14:paraId="74E271DB" w14:textId="181EC178" w:rsidR="00A44076" w:rsidRDefault="00A44076" w:rsidP="00CF7B47">
      <w:pPr>
        <w:overflowPunct/>
        <w:autoSpaceDE/>
        <w:autoSpaceDN/>
        <w:adjustRightInd/>
        <w:ind w:firstLine="540"/>
        <w:textAlignment w:val="auto"/>
        <w:rPr>
          <w:rFonts w:cs="Calibri"/>
          <w:color w:val="000000" w:themeColor="text1"/>
          <w:szCs w:val="22"/>
        </w:rPr>
      </w:pPr>
    </w:p>
    <w:p w14:paraId="6EF0E83D" w14:textId="0E59CA10" w:rsidR="00A44076" w:rsidRDefault="00A44076" w:rsidP="00CF7B47">
      <w:pPr>
        <w:overflowPunct/>
        <w:autoSpaceDE/>
        <w:autoSpaceDN/>
        <w:adjustRightInd/>
        <w:ind w:firstLine="540"/>
        <w:textAlignment w:val="auto"/>
        <w:rPr>
          <w:rFonts w:cs="Calibri"/>
          <w:color w:val="000000" w:themeColor="text1"/>
          <w:szCs w:val="22"/>
        </w:rPr>
      </w:pPr>
    </w:p>
    <w:p w14:paraId="25A98807" w14:textId="1CFBB83A" w:rsidR="00A44076" w:rsidRDefault="00A44076" w:rsidP="00CF7B47">
      <w:pPr>
        <w:overflowPunct/>
        <w:autoSpaceDE/>
        <w:autoSpaceDN/>
        <w:adjustRightInd/>
        <w:ind w:firstLine="540"/>
        <w:textAlignment w:val="auto"/>
        <w:rPr>
          <w:rFonts w:cs="Calibri"/>
          <w:color w:val="000000" w:themeColor="text1"/>
          <w:szCs w:val="22"/>
        </w:rPr>
      </w:pPr>
    </w:p>
    <w:p w14:paraId="7FD75618" w14:textId="6227881E" w:rsidR="00A44076" w:rsidRDefault="00A44076" w:rsidP="00CF7B47">
      <w:pPr>
        <w:overflowPunct/>
        <w:autoSpaceDE/>
        <w:autoSpaceDN/>
        <w:adjustRightInd/>
        <w:ind w:firstLine="540"/>
        <w:textAlignment w:val="auto"/>
        <w:rPr>
          <w:rFonts w:cs="Calibri"/>
          <w:color w:val="000000" w:themeColor="text1"/>
          <w:szCs w:val="22"/>
        </w:rPr>
      </w:pPr>
    </w:p>
    <w:p w14:paraId="219DC935" w14:textId="371491A8" w:rsidR="00A44076" w:rsidRDefault="00A44076" w:rsidP="00CF7B47">
      <w:pPr>
        <w:overflowPunct/>
        <w:autoSpaceDE/>
        <w:autoSpaceDN/>
        <w:adjustRightInd/>
        <w:ind w:firstLine="540"/>
        <w:textAlignment w:val="auto"/>
        <w:rPr>
          <w:rFonts w:cs="Calibri"/>
          <w:color w:val="000000" w:themeColor="text1"/>
          <w:szCs w:val="22"/>
        </w:rPr>
      </w:pPr>
    </w:p>
    <w:p w14:paraId="2B24B452" w14:textId="6A51D362" w:rsidR="00A44076" w:rsidRDefault="00A44076" w:rsidP="00CF7B47">
      <w:pPr>
        <w:overflowPunct/>
        <w:autoSpaceDE/>
        <w:autoSpaceDN/>
        <w:adjustRightInd/>
        <w:ind w:firstLine="540"/>
        <w:textAlignment w:val="auto"/>
        <w:rPr>
          <w:rFonts w:cs="Calibri"/>
          <w:color w:val="000000" w:themeColor="text1"/>
          <w:szCs w:val="22"/>
        </w:rPr>
      </w:pPr>
    </w:p>
    <w:p w14:paraId="6027372F" w14:textId="6564D973" w:rsidR="00A44076" w:rsidRDefault="00A44076" w:rsidP="00CF7B47">
      <w:pPr>
        <w:overflowPunct/>
        <w:autoSpaceDE/>
        <w:autoSpaceDN/>
        <w:adjustRightInd/>
        <w:ind w:firstLine="540"/>
        <w:textAlignment w:val="auto"/>
        <w:rPr>
          <w:rFonts w:cs="Calibri"/>
          <w:color w:val="000000" w:themeColor="text1"/>
          <w:szCs w:val="22"/>
        </w:rPr>
      </w:pPr>
    </w:p>
    <w:p w14:paraId="68F70AE9" w14:textId="64F039CD" w:rsidR="00A44076" w:rsidRDefault="00A44076" w:rsidP="00CF7B47">
      <w:pPr>
        <w:overflowPunct/>
        <w:autoSpaceDE/>
        <w:autoSpaceDN/>
        <w:adjustRightInd/>
        <w:ind w:firstLine="540"/>
        <w:textAlignment w:val="auto"/>
        <w:rPr>
          <w:rFonts w:cs="Calibri"/>
          <w:color w:val="000000" w:themeColor="text1"/>
          <w:szCs w:val="22"/>
        </w:rPr>
      </w:pPr>
    </w:p>
    <w:p w14:paraId="6EE65A0B" w14:textId="5F25D0C3" w:rsidR="00A44076" w:rsidRDefault="00A44076" w:rsidP="00CF7B47">
      <w:pPr>
        <w:overflowPunct/>
        <w:autoSpaceDE/>
        <w:autoSpaceDN/>
        <w:adjustRightInd/>
        <w:ind w:firstLine="540"/>
        <w:textAlignment w:val="auto"/>
        <w:rPr>
          <w:rFonts w:cs="Calibri"/>
          <w:color w:val="000000" w:themeColor="text1"/>
          <w:szCs w:val="22"/>
        </w:rPr>
      </w:pPr>
    </w:p>
    <w:p w14:paraId="48C6B111" w14:textId="47F369F4" w:rsidR="00A44076" w:rsidRDefault="00A44076" w:rsidP="00CF7B47">
      <w:pPr>
        <w:overflowPunct/>
        <w:autoSpaceDE/>
        <w:autoSpaceDN/>
        <w:adjustRightInd/>
        <w:ind w:firstLine="540"/>
        <w:textAlignment w:val="auto"/>
        <w:rPr>
          <w:rFonts w:cs="Calibri"/>
          <w:color w:val="000000" w:themeColor="text1"/>
          <w:szCs w:val="22"/>
        </w:rPr>
      </w:pPr>
    </w:p>
    <w:p w14:paraId="6034909A" w14:textId="37D8622B" w:rsidR="00A44076" w:rsidRDefault="00A44076" w:rsidP="00CF7B47">
      <w:pPr>
        <w:overflowPunct/>
        <w:autoSpaceDE/>
        <w:autoSpaceDN/>
        <w:adjustRightInd/>
        <w:ind w:firstLine="540"/>
        <w:textAlignment w:val="auto"/>
        <w:rPr>
          <w:rFonts w:cs="Calibri"/>
          <w:color w:val="000000" w:themeColor="text1"/>
          <w:szCs w:val="22"/>
        </w:rPr>
      </w:pPr>
    </w:p>
    <w:p w14:paraId="033AE1CB" w14:textId="7B61480F" w:rsidR="00A44076" w:rsidRDefault="00A44076" w:rsidP="00CF7B47">
      <w:pPr>
        <w:overflowPunct/>
        <w:autoSpaceDE/>
        <w:autoSpaceDN/>
        <w:adjustRightInd/>
        <w:ind w:firstLine="540"/>
        <w:textAlignment w:val="auto"/>
        <w:rPr>
          <w:rFonts w:cs="Calibri"/>
          <w:color w:val="000000" w:themeColor="text1"/>
          <w:szCs w:val="22"/>
        </w:rPr>
      </w:pPr>
    </w:p>
    <w:p w14:paraId="5E167117" w14:textId="2EA5C869" w:rsidR="00A44076" w:rsidRDefault="00A44076" w:rsidP="00CF7B47">
      <w:pPr>
        <w:overflowPunct/>
        <w:autoSpaceDE/>
        <w:autoSpaceDN/>
        <w:adjustRightInd/>
        <w:ind w:firstLine="540"/>
        <w:textAlignment w:val="auto"/>
        <w:rPr>
          <w:rFonts w:cs="Calibri"/>
          <w:color w:val="000000" w:themeColor="text1"/>
          <w:szCs w:val="22"/>
        </w:rPr>
      </w:pPr>
    </w:p>
    <w:p w14:paraId="29063BAA" w14:textId="4897B84A" w:rsidR="00A44076" w:rsidRDefault="00A44076" w:rsidP="00CF7B47">
      <w:pPr>
        <w:overflowPunct/>
        <w:autoSpaceDE/>
        <w:autoSpaceDN/>
        <w:adjustRightInd/>
        <w:ind w:firstLine="540"/>
        <w:textAlignment w:val="auto"/>
        <w:rPr>
          <w:rFonts w:cs="Calibri"/>
          <w:color w:val="000000" w:themeColor="text1"/>
          <w:szCs w:val="22"/>
        </w:rPr>
      </w:pPr>
    </w:p>
    <w:p w14:paraId="7F85C772" w14:textId="77777777" w:rsidR="00A44076" w:rsidRDefault="00A44076" w:rsidP="00CF7B47">
      <w:pPr>
        <w:overflowPunct/>
        <w:autoSpaceDE/>
        <w:autoSpaceDN/>
        <w:adjustRightInd/>
        <w:ind w:firstLine="540"/>
        <w:textAlignment w:val="auto"/>
        <w:rPr>
          <w:rFonts w:cs="Calibri"/>
          <w:color w:val="000000" w:themeColor="text1"/>
          <w:szCs w:val="22"/>
        </w:rPr>
      </w:pPr>
    </w:p>
    <w:p w14:paraId="3EE23CF9" w14:textId="57FCC6AE" w:rsidR="00CF7B47" w:rsidRDefault="00CF7B47" w:rsidP="00F256E4">
      <w:pPr>
        <w:overflowPunct/>
        <w:autoSpaceDE/>
        <w:autoSpaceDN/>
        <w:adjustRightInd/>
        <w:textAlignment w:val="auto"/>
        <w:rPr>
          <w:rFonts w:cs="Calibri"/>
          <w:color w:val="000000" w:themeColor="text1"/>
          <w:szCs w:val="22"/>
        </w:rPr>
      </w:pPr>
    </w:p>
    <w:p w14:paraId="20CD5DF9" w14:textId="77777777" w:rsidR="00CF7B47" w:rsidRPr="00214404" w:rsidRDefault="00CF7B47" w:rsidP="00CF7B47">
      <w:pPr>
        <w:overflowPunct/>
        <w:autoSpaceDE/>
        <w:autoSpaceDN/>
        <w:adjustRightInd/>
        <w:ind w:firstLine="540"/>
        <w:textAlignment w:val="auto"/>
      </w:pPr>
    </w:p>
    <w:p w14:paraId="6123E064" w14:textId="696EF176" w:rsidR="009A36CC" w:rsidRPr="00214404" w:rsidRDefault="00CE2495" w:rsidP="000750E0">
      <w:pPr>
        <w:pStyle w:val="Heading1"/>
        <w:tabs>
          <w:tab w:val="clear" w:pos="360"/>
          <w:tab w:val="left" w:pos="540"/>
        </w:tabs>
        <w:spacing w:after="240"/>
        <w:ind w:left="540" w:hanging="540"/>
        <w:jc w:val="both"/>
        <w:rPr>
          <w:rFonts w:ascii="Calibri" w:hAnsi="Calibri" w:cs="Calibri"/>
        </w:rPr>
      </w:pPr>
      <w:bookmarkStart w:id="7" w:name="_Toc56073803"/>
      <w:r w:rsidRPr="00214404">
        <w:rPr>
          <w:rFonts w:ascii="Calibri" w:hAnsi="Calibri" w:cs="Calibri"/>
        </w:rPr>
        <w:t>I</w:t>
      </w:r>
      <w:r w:rsidR="00B07A64" w:rsidRPr="00214404">
        <w:rPr>
          <w:rFonts w:ascii="Calibri" w:hAnsi="Calibri" w:cs="Calibri"/>
        </w:rPr>
        <w:t>I</w:t>
      </w:r>
      <w:r w:rsidR="009A36CC" w:rsidRPr="00214404">
        <w:rPr>
          <w:rFonts w:ascii="Calibri" w:hAnsi="Calibri" w:cs="Calibri"/>
        </w:rPr>
        <w:t>.</w:t>
      </w:r>
      <w:r w:rsidR="009A36CC" w:rsidRPr="00214404">
        <w:rPr>
          <w:rFonts w:ascii="Calibri" w:hAnsi="Calibri" w:cs="Calibri"/>
        </w:rPr>
        <w:tab/>
        <w:t>FINDINGS</w:t>
      </w:r>
      <w:bookmarkEnd w:id="7"/>
    </w:p>
    <w:p w14:paraId="386458EF" w14:textId="3756F9D7" w:rsidR="008E7E65" w:rsidRPr="00214404" w:rsidRDefault="008E7E65" w:rsidP="000750E0">
      <w:pPr>
        <w:spacing w:after="120"/>
        <w:jc w:val="both"/>
        <w:rPr>
          <w:rFonts w:cs="Calibri"/>
          <w:szCs w:val="22"/>
        </w:rPr>
      </w:pPr>
      <w:r w:rsidRPr="00214404">
        <w:rPr>
          <w:rFonts w:cs="Calibri"/>
          <w:szCs w:val="22"/>
        </w:rPr>
        <w:t xml:space="preserve">The Planning Division findings </w:t>
      </w:r>
      <w:r w:rsidR="00A7581E" w:rsidRPr="00214404">
        <w:rPr>
          <w:rFonts w:cs="Calibri"/>
          <w:szCs w:val="22"/>
        </w:rPr>
        <w:t xml:space="preserve">reference </w:t>
      </w:r>
      <w:r w:rsidRPr="00214404">
        <w:rPr>
          <w:rFonts w:cs="Calibri"/>
          <w:szCs w:val="22"/>
        </w:rPr>
        <w:t>the</w:t>
      </w:r>
      <w:r w:rsidR="007C048F">
        <w:rPr>
          <w:rFonts w:cs="Calibri"/>
          <w:szCs w:val="22"/>
        </w:rPr>
        <w:t xml:space="preserve"> Tualatin Development Code</w:t>
      </w:r>
      <w:r w:rsidRPr="00214404">
        <w:rPr>
          <w:rFonts w:cs="Calibri"/>
          <w:szCs w:val="22"/>
        </w:rPr>
        <w:t xml:space="preserve"> </w:t>
      </w:r>
      <w:r w:rsidR="007C048F">
        <w:rPr>
          <w:rFonts w:cs="Calibri"/>
          <w:szCs w:val="22"/>
        </w:rPr>
        <w:t>(</w:t>
      </w:r>
      <w:r w:rsidRPr="00214404">
        <w:rPr>
          <w:rFonts w:cs="Calibri"/>
          <w:szCs w:val="22"/>
        </w:rPr>
        <w:t>TDC</w:t>
      </w:r>
      <w:r w:rsidR="007C048F">
        <w:rPr>
          <w:rFonts w:cs="Calibri"/>
          <w:szCs w:val="22"/>
        </w:rPr>
        <w:t>)</w:t>
      </w:r>
      <w:r w:rsidR="00A7581E" w:rsidRPr="00214404">
        <w:rPr>
          <w:rFonts w:cs="Calibri"/>
          <w:szCs w:val="22"/>
        </w:rPr>
        <w:t>,</w:t>
      </w:r>
      <w:r w:rsidRPr="00214404">
        <w:rPr>
          <w:rFonts w:cs="Calibri"/>
          <w:szCs w:val="22"/>
        </w:rPr>
        <w:t xml:space="preserve"> unless otherwise noted.</w:t>
      </w:r>
    </w:p>
    <w:p w14:paraId="086C6EFF" w14:textId="77777777" w:rsidR="004C69F3" w:rsidRPr="00214404" w:rsidRDefault="004C69F3" w:rsidP="004C69F3">
      <w:pPr>
        <w:overflowPunct/>
        <w:textAlignment w:val="auto"/>
        <w:rPr>
          <w:rStyle w:val="Strong"/>
          <w:rFonts w:eastAsia="Calibri"/>
        </w:rPr>
      </w:pPr>
      <w:r w:rsidRPr="00214404">
        <w:rPr>
          <w:rStyle w:val="Strong"/>
          <w:rFonts w:eastAsia="Calibri"/>
        </w:rPr>
        <w:t>Chapter 32: Procedures</w:t>
      </w:r>
    </w:p>
    <w:p w14:paraId="42EAE535" w14:textId="77777777" w:rsidR="004C69F3" w:rsidRPr="00214404" w:rsidRDefault="004C69F3" w:rsidP="004C69F3">
      <w:pPr>
        <w:overflowPunct/>
        <w:textAlignment w:val="auto"/>
        <w:rPr>
          <w:rStyle w:val="Strong"/>
          <w:rFonts w:eastAsia="Calibri"/>
        </w:rPr>
      </w:pPr>
      <w:r w:rsidRPr="00E15D45">
        <w:rPr>
          <w:rStyle w:val="Strong"/>
          <w:rFonts w:eastAsia="Calibri"/>
          <w:u w:val="single"/>
        </w:rPr>
        <w:t>Section 32.010 – Purpose and Applicability</w:t>
      </w:r>
      <w:r w:rsidRPr="00214404">
        <w:rPr>
          <w:rStyle w:val="Strong"/>
          <w:rFonts w:eastAsia="Calibri"/>
        </w:rPr>
        <w:t>.</w:t>
      </w:r>
    </w:p>
    <w:p w14:paraId="4868016A" w14:textId="77777777" w:rsidR="004C69F3" w:rsidRPr="00214404" w:rsidRDefault="004C69F3" w:rsidP="004C69F3">
      <w:pPr>
        <w:overflowPunct/>
        <w:textAlignment w:val="auto"/>
        <w:rPr>
          <w:rStyle w:val="Strong"/>
          <w:rFonts w:eastAsia="Calibri"/>
        </w:rPr>
      </w:pPr>
      <w:r w:rsidRPr="00214404">
        <w:rPr>
          <w:rStyle w:val="Strong"/>
          <w:rFonts w:eastAsia="Calibri"/>
        </w:rPr>
        <w:t>[…]</w:t>
      </w:r>
    </w:p>
    <w:p w14:paraId="590B0D35" w14:textId="77777777" w:rsidR="004C69F3" w:rsidRPr="00214404" w:rsidRDefault="004C69F3" w:rsidP="004C69F3">
      <w:pPr>
        <w:overflowPunct/>
        <w:textAlignment w:val="auto"/>
        <w:rPr>
          <w:rStyle w:val="Strong"/>
          <w:rFonts w:eastAsia="Calibri"/>
        </w:rPr>
      </w:pPr>
      <w:r w:rsidRPr="00214404">
        <w:rPr>
          <w:rStyle w:val="Strong"/>
          <w:rFonts w:eastAsia="Calibri"/>
        </w:rPr>
        <w:t>(2) Applicability of Review Procedures. All land use and development permit applications and decisions, will be made by using the procedures contained in this Chapter. The procedure “type” assigned to each application governs the decision-making process for that permit or application. There are five types of permit/application procedures as described in subsections (a) through (e) below. Table 32-1 lists the City’s land use and development applications and corresponding review procedure(s).</w:t>
      </w:r>
    </w:p>
    <w:p w14:paraId="180691F5" w14:textId="77777777" w:rsidR="004C69F3" w:rsidRPr="00214404" w:rsidRDefault="004C69F3" w:rsidP="004C69F3">
      <w:pPr>
        <w:overflowPunct/>
        <w:ind w:firstLine="432"/>
        <w:textAlignment w:val="auto"/>
        <w:rPr>
          <w:rStyle w:val="Strong"/>
          <w:rFonts w:eastAsia="Calibri"/>
        </w:rPr>
      </w:pPr>
      <w:r w:rsidRPr="00214404">
        <w:rPr>
          <w:rStyle w:val="Strong"/>
          <w:rFonts w:eastAsia="Calibri"/>
        </w:rPr>
        <w:t>[…]</w:t>
      </w:r>
    </w:p>
    <w:p w14:paraId="4F1A2677" w14:textId="77777777" w:rsidR="004C69F3" w:rsidRPr="00214404" w:rsidRDefault="004C69F3" w:rsidP="004C69F3">
      <w:pPr>
        <w:overflowPunct/>
        <w:ind w:left="432"/>
        <w:textAlignment w:val="auto"/>
        <w:rPr>
          <w:rStyle w:val="Strong"/>
          <w:rFonts w:eastAsia="Calibri"/>
        </w:rPr>
      </w:pPr>
      <w:r w:rsidRPr="00214404">
        <w:rPr>
          <w:rStyle w:val="Strong"/>
          <w:rFonts w:eastAsia="Calibri"/>
        </w:rPr>
        <w:t>(c) Type III Procedure (Quasi-Judicial Review – Public Hearing). Type III procedure is used when the standards and criteria require discretion, interpretation, or policy or legal judgment. Quasi-Judicial decisions involve discretion but implement established policy. Type III decisions are made by the Planning Commission or Architectural Review Board and require public notice and a public hearing, with an opportunity for appeal to the City Council.</w:t>
      </w:r>
    </w:p>
    <w:p w14:paraId="3942817E" w14:textId="77777777" w:rsidR="004C69F3" w:rsidRPr="00214404" w:rsidRDefault="004C69F3" w:rsidP="004C69F3">
      <w:pPr>
        <w:overflowPunct/>
        <w:ind w:firstLine="432"/>
        <w:textAlignment w:val="auto"/>
        <w:rPr>
          <w:rStyle w:val="Strong"/>
          <w:rFonts w:eastAsia="Calibri"/>
        </w:rPr>
      </w:pPr>
      <w:r w:rsidRPr="00214404">
        <w:rPr>
          <w:rStyle w:val="Strong"/>
          <w:rFonts w:eastAsia="Calibri"/>
        </w:rPr>
        <w:t>[…]</w:t>
      </w:r>
    </w:p>
    <w:p w14:paraId="65812C3C" w14:textId="476E8595" w:rsidR="00293A1C" w:rsidRPr="00214404" w:rsidRDefault="004C69F3" w:rsidP="004C69F3">
      <w:pPr>
        <w:overflowPunct/>
        <w:textAlignment w:val="auto"/>
        <w:rPr>
          <w:rStyle w:val="Strong"/>
        </w:rPr>
      </w:pPr>
      <w:r w:rsidRPr="00214404">
        <w:rPr>
          <w:rStyle w:val="Strong"/>
          <w:rFonts w:eastAsia="Calibri"/>
        </w:rPr>
        <w:t>(3) Determination of Review Type. Unless specified in Table 32-1, the City Manager will determine whether a permit or application is processed as Type I, II, III, IV-A or IV-B based on the descriptions above. Questions regarding the appropriate procedure will be resolved in favor of the review type providing the widest notice and opportunity to participate. An applicant may choose to elevate a Type I or II application to a higher numbered review type, provided the applicant pays the appropriate fee for the selected review type.</w:t>
      </w:r>
    </w:p>
    <w:p w14:paraId="278AE0AD" w14:textId="77777777" w:rsidR="00293A1C" w:rsidRPr="00214404" w:rsidRDefault="00293A1C" w:rsidP="00293A1C">
      <w:pPr>
        <w:overflowPunct/>
        <w:spacing w:before="100" w:beforeAutospacing="1" w:after="160"/>
        <w:jc w:val="center"/>
        <w:textAlignment w:val="auto"/>
        <w:rPr>
          <w:rFonts w:cs="Calibri"/>
          <w:b/>
          <w:bCs/>
          <w:color w:val="000000"/>
          <w:szCs w:val="22"/>
        </w:rPr>
      </w:pPr>
      <w:r w:rsidRPr="00214404">
        <w:rPr>
          <w:rFonts w:cs="Calibri"/>
          <w:b/>
          <w:bCs/>
          <w:color w:val="000000"/>
          <w:szCs w:val="22"/>
        </w:rPr>
        <w:t>Table 32-1 – Applications Types and Review Procedures</w:t>
      </w:r>
    </w:p>
    <w:tbl>
      <w:tblPr>
        <w:tblStyle w:val="TableGrid1"/>
        <w:tblW w:w="0" w:type="auto"/>
        <w:tblLook w:val="04A0" w:firstRow="1" w:lastRow="0" w:firstColumn="1" w:lastColumn="0" w:noHBand="0" w:noVBand="1"/>
      </w:tblPr>
      <w:tblGrid>
        <w:gridCol w:w="1570"/>
        <w:gridCol w:w="1095"/>
        <w:gridCol w:w="958"/>
        <w:gridCol w:w="849"/>
        <w:gridCol w:w="1182"/>
        <w:gridCol w:w="2360"/>
        <w:gridCol w:w="1336"/>
      </w:tblGrid>
      <w:tr w:rsidR="00293A1C" w:rsidRPr="00214404" w14:paraId="67366DFC" w14:textId="77777777" w:rsidTr="0075541E">
        <w:tc>
          <w:tcPr>
            <w:tcW w:w="1734" w:type="dxa"/>
            <w:vAlign w:val="center"/>
          </w:tcPr>
          <w:p w14:paraId="15DA0F63" w14:textId="77777777" w:rsidR="00293A1C" w:rsidRPr="00214404" w:rsidRDefault="00293A1C" w:rsidP="00501C66">
            <w:pPr>
              <w:overflowPunct/>
              <w:textAlignment w:val="auto"/>
              <w:rPr>
                <w:rFonts w:cs="Calibri"/>
                <w:b/>
                <w:bCs/>
                <w:color w:val="000000"/>
                <w:sz w:val="20"/>
                <w:szCs w:val="23"/>
              </w:rPr>
            </w:pPr>
            <w:r w:rsidRPr="00214404">
              <w:rPr>
                <w:rFonts w:cs="Calibri"/>
                <w:b/>
                <w:bCs/>
                <w:color w:val="000000"/>
                <w:sz w:val="20"/>
                <w:szCs w:val="23"/>
              </w:rPr>
              <w:t>Application / Action</w:t>
            </w:r>
          </w:p>
        </w:tc>
        <w:tc>
          <w:tcPr>
            <w:tcW w:w="1105" w:type="dxa"/>
            <w:vAlign w:val="center"/>
          </w:tcPr>
          <w:p w14:paraId="698D07D4" w14:textId="77777777" w:rsidR="00293A1C" w:rsidRPr="00214404" w:rsidRDefault="00293A1C" w:rsidP="00501C66">
            <w:pPr>
              <w:overflowPunct/>
              <w:textAlignment w:val="auto"/>
              <w:rPr>
                <w:rFonts w:cs="Calibri"/>
                <w:b/>
                <w:bCs/>
                <w:color w:val="000000"/>
                <w:sz w:val="20"/>
                <w:szCs w:val="23"/>
              </w:rPr>
            </w:pPr>
            <w:r w:rsidRPr="00214404">
              <w:rPr>
                <w:rFonts w:cs="Calibri"/>
                <w:b/>
                <w:bCs/>
                <w:color w:val="000000"/>
                <w:sz w:val="20"/>
                <w:szCs w:val="23"/>
              </w:rPr>
              <w:t>Procedure Type</w:t>
            </w:r>
          </w:p>
        </w:tc>
        <w:tc>
          <w:tcPr>
            <w:tcW w:w="973" w:type="dxa"/>
            <w:vAlign w:val="center"/>
          </w:tcPr>
          <w:p w14:paraId="62723910" w14:textId="77777777" w:rsidR="00293A1C" w:rsidRPr="00214404" w:rsidRDefault="00293A1C" w:rsidP="00501C66">
            <w:pPr>
              <w:overflowPunct/>
              <w:textAlignment w:val="auto"/>
              <w:rPr>
                <w:rFonts w:cs="Calibri"/>
                <w:b/>
                <w:bCs/>
                <w:color w:val="000000"/>
                <w:sz w:val="20"/>
                <w:szCs w:val="23"/>
              </w:rPr>
            </w:pPr>
            <w:r w:rsidRPr="00214404">
              <w:rPr>
                <w:rFonts w:cs="Calibri"/>
                <w:b/>
                <w:bCs/>
                <w:color w:val="000000"/>
                <w:sz w:val="20"/>
                <w:szCs w:val="23"/>
              </w:rPr>
              <w:t>Decision Body*</w:t>
            </w:r>
          </w:p>
        </w:tc>
        <w:tc>
          <w:tcPr>
            <w:tcW w:w="869" w:type="dxa"/>
            <w:vAlign w:val="center"/>
          </w:tcPr>
          <w:p w14:paraId="53040DFA" w14:textId="77777777" w:rsidR="00293A1C" w:rsidRPr="00214404" w:rsidRDefault="00293A1C" w:rsidP="00501C66">
            <w:pPr>
              <w:overflowPunct/>
              <w:textAlignment w:val="auto"/>
              <w:rPr>
                <w:rFonts w:cs="Calibri"/>
                <w:b/>
                <w:bCs/>
                <w:color w:val="000000"/>
                <w:sz w:val="20"/>
                <w:szCs w:val="23"/>
              </w:rPr>
            </w:pPr>
            <w:r w:rsidRPr="00214404">
              <w:rPr>
                <w:rFonts w:cs="Calibri"/>
                <w:b/>
                <w:bCs/>
                <w:color w:val="000000"/>
                <w:sz w:val="20"/>
                <w:szCs w:val="23"/>
              </w:rPr>
              <w:t> </w:t>
            </w:r>
          </w:p>
          <w:p w14:paraId="5D9910A0" w14:textId="77777777" w:rsidR="00293A1C" w:rsidRPr="00214404" w:rsidRDefault="00293A1C" w:rsidP="00501C66">
            <w:pPr>
              <w:overflowPunct/>
              <w:textAlignment w:val="auto"/>
              <w:rPr>
                <w:rFonts w:cs="Calibri"/>
                <w:b/>
                <w:bCs/>
                <w:color w:val="000000"/>
                <w:sz w:val="20"/>
                <w:szCs w:val="23"/>
              </w:rPr>
            </w:pPr>
            <w:r w:rsidRPr="00214404">
              <w:rPr>
                <w:rFonts w:cs="Calibri"/>
                <w:b/>
                <w:bCs/>
                <w:color w:val="000000"/>
                <w:sz w:val="20"/>
                <w:szCs w:val="23"/>
              </w:rPr>
              <w:t>Appeal Body*</w:t>
            </w:r>
          </w:p>
        </w:tc>
        <w:tc>
          <w:tcPr>
            <w:tcW w:w="1188" w:type="dxa"/>
            <w:vAlign w:val="center"/>
          </w:tcPr>
          <w:p w14:paraId="541FBE0A" w14:textId="77777777" w:rsidR="00293A1C" w:rsidRPr="00214404" w:rsidRDefault="00293A1C" w:rsidP="00501C66">
            <w:pPr>
              <w:overflowPunct/>
              <w:textAlignment w:val="auto"/>
              <w:rPr>
                <w:rFonts w:cs="Calibri"/>
                <w:b/>
                <w:bCs/>
                <w:color w:val="000000"/>
                <w:sz w:val="20"/>
                <w:szCs w:val="23"/>
              </w:rPr>
            </w:pPr>
            <w:r w:rsidRPr="00214404">
              <w:rPr>
                <w:rFonts w:cs="Calibri"/>
                <w:b/>
                <w:bCs/>
                <w:color w:val="000000"/>
                <w:sz w:val="20"/>
                <w:szCs w:val="23"/>
              </w:rPr>
              <w:t>Pre-Application Conference Required</w:t>
            </w:r>
          </w:p>
        </w:tc>
        <w:tc>
          <w:tcPr>
            <w:tcW w:w="2046" w:type="dxa"/>
            <w:vAlign w:val="center"/>
          </w:tcPr>
          <w:p w14:paraId="60CA5F65" w14:textId="77777777" w:rsidR="00293A1C" w:rsidRPr="00214404" w:rsidRDefault="00293A1C" w:rsidP="00501C66">
            <w:pPr>
              <w:overflowPunct/>
              <w:textAlignment w:val="auto"/>
              <w:rPr>
                <w:rFonts w:cs="Calibri"/>
                <w:b/>
                <w:bCs/>
                <w:color w:val="000000"/>
                <w:sz w:val="20"/>
                <w:szCs w:val="23"/>
              </w:rPr>
            </w:pPr>
            <w:r w:rsidRPr="00214404">
              <w:rPr>
                <w:rFonts w:cs="Calibri"/>
                <w:b/>
                <w:bCs/>
                <w:color w:val="000000"/>
                <w:sz w:val="20"/>
                <w:szCs w:val="23"/>
              </w:rPr>
              <w:t xml:space="preserve">Neighborhood/Developer </w:t>
            </w:r>
            <w:proofErr w:type="spellStart"/>
            <w:r w:rsidRPr="00214404">
              <w:rPr>
                <w:rFonts w:cs="Calibri"/>
                <w:b/>
                <w:bCs/>
                <w:color w:val="000000"/>
                <w:sz w:val="20"/>
                <w:szCs w:val="23"/>
              </w:rPr>
              <w:t>Mtg</w:t>
            </w:r>
            <w:proofErr w:type="spellEnd"/>
            <w:r w:rsidRPr="00214404">
              <w:rPr>
                <w:rFonts w:cs="Calibri"/>
                <w:b/>
                <w:bCs/>
                <w:color w:val="000000"/>
                <w:sz w:val="20"/>
                <w:szCs w:val="23"/>
              </w:rPr>
              <w:t xml:space="preserve"> Required</w:t>
            </w:r>
          </w:p>
        </w:tc>
        <w:tc>
          <w:tcPr>
            <w:tcW w:w="1435" w:type="dxa"/>
            <w:vAlign w:val="center"/>
          </w:tcPr>
          <w:p w14:paraId="4EBA96C2" w14:textId="77777777" w:rsidR="00293A1C" w:rsidRPr="00214404" w:rsidRDefault="00293A1C" w:rsidP="00501C66">
            <w:pPr>
              <w:overflowPunct/>
              <w:textAlignment w:val="auto"/>
              <w:rPr>
                <w:rFonts w:cs="Calibri"/>
                <w:b/>
                <w:bCs/>
                <w:color w:val="000000"/>
                <w:sz w:val="20"/>
                <w:szCs w:val="23"/>
              </w:rPr>
            </w:pPr>
            <w:r w:rsidRPr="00214404">
              <w:rPr>
                <w:rFonts w:cs="Calibri"/>
                <w:b/>
                <w:bCs/>
                <w:color w:val="000000"/>
                <w:sz w:val="20"/>
                <w:szCs w:val="23"/>
              </w:rPr>
              <w:t>Applicable Code Chapter</w:t>
            </w:r>
          </w:p>
        </w:tc>
      </w:tr>
      <w:tr w:rsidR="00293A1C" w:rsidRPr="00214404" w14:paraId="0EF5181E" w14:textId="77777777" w:rsidTr="00293A1C">
        <w:tc>
          <w:tcPr>
            <w:tcW w:w="9350" w:type="dxa"/>
            <w:gridSpan w:val="7"/>
            <w:vAlign w:val="center"/>
          </w:tcPr>
          <w:p w14:paraId="2E2650C3" w14:textId="34602620" w:rsidR="00293A1C" w:rsidRPr="00214404" w:rsidRDefault="004C69F3" w:rsidP="00501C66">
            <w:pPr>
              <w:overflowPunct/>
              <w:textAlignment w:val="auto"/>
              <w:rPr>
                <w:rFonts w:cs="Calibri"/>
                <w:b/>
                <w:sz w:val="20"/>
              </w:rPr>
            </w:pPr>
            <w:r w:rsidRPr="00214404">
              <w:rPr>
                <w:rFonts w:cs="Calibri"/>
                <w:b/>
                <w:sz w:val="20"/>
              </w:rPr>
              <w:t>[…]</w:t>
            </w:r>
          </w:p>
        </w:tc>
      </w:tr>
      <w:tr w:rsidR="00293A1C" w:rsidRPr="00214404" w14:paraId="0651F49C" w14:textId="77777777" w:rsidTr="0075541E">
        <w:tc>
          <w:tcPr>
            <w:tcW w:w="1734" w:type="dxa"/>
            <w:vAlign w:val="center"/>
          </w:tcPr>
          <w:p w14:paraId="17F0EAE9" w14:textId="108ED1EA" w:rsidR="00293A1C" w:rsidRPr="00214404" w:rsidRDefault="0075541E" w:rsidP="004C69F3">
            <w:pPr>
              <w:shd w:val="clear" w:color="auto" w:fill="FFFFFF"/>
              <w:overflowPunct/>
              <w:textAlignment w:val="auto"/>
              <w:rPr>
                <w:rFonts w:asciiTheme="minorHAnsi" w:hAnsiTheme="minorHAnsi" w:cstheme="minorHAnsi"/>
                <w:color w:val="000000"/>
              </w:rPr>
            </w:pPr>
            <w:r w:rsidRPr="00214404">
              <w:rPr>
                <w:rFonts w:asciiTheme="minorHAnsi" w:hAnsiTheme="minorHAnsi" w:cstheme="minorHAnsi"/>
                <w:color w:val="000000"/>
              </w:rPr>
              <w:t>Variance</w:t>
            </w:r>
            <w:r w:rsidR="0089718F">
              <w:rPr>
                <w:rFonts w:asciiTheme="minorHAnsi" w:hAnsiTheme="minorHAnsi" w:cstheme="minorHAnsi"/>
                <w:color w:val="000000"/>
              </w:rPr>
              <w:t xml:space="preserve"> (including Sign Variance)</w:t>
            </w:r>
          </w:p>
        </w:tc>
        <w:tc>
          <w:tcPr>
            <w:tcW w:w="1105" w:type="dxa"/>
            <w:vAlign w:val="center"/>
          </w:tcPr>
          <w:p w14:paraId="1070AC69" w14:textId="3A1CED8C" w:rsidR="00293A1C" w:rsidRPr="00214404" w:rsidRDefault="00293A1C" w:rsidP="00501C66">
            <w:pPr>
              <w:overflowPunct/>
              <w:jc w:val="center"/>
              <w:textAlignment w:val="auto"/>
              <w:rPr>
                <w:rFonts w:asciiTheme="minorHAnsi" w:hAnsiTheme="minorHAnsi" w:cstheme="minorHAnsi"/>
                <w:color w:val="000000"/>
              </w:rPr>
            </w:pPr>
            <w:r w:rsidRPr="00214404">
              <w:rPr>
                <w:rFonts w:asciiTheme="minorHAnsi" w:hAnsiTheme="minorHAnsi" w:cstheme="minorHAnsi"/>
                <w:color w:val="000000"/>
              </w:rPr>
              <w:t>II</w:t>
            </w:r>
            <w:r w:rsidR="004C69F3" w:rsidRPr="00214404">
              <w:rPr>
                <w:rFonts w:asciiTheme="minorHAnsi" w:hAnsiTheme="minorHAnsi" w:cstheme="minorHAnsi"/>
                <w:color w:val="000000"/>
              </w:rPr>
              <w:t>I</w:t>
            </w:r>
          </w:p>
        </w:tc>
        <w:tc>
          <w:tcPr>
            <w:tcW w:w="973" w:type="dxa"/>
            <w:vAlign w:val="center"/>
          </w:tcPr>
          <w:p w14:paraId="4D9301B9" w14:textId="311B3536" w:rsidR="00293A1C" w:rsidRPr="00214404" w:rsidRDefault="004C69F3" w:rsidP="00501C66">
            <w:pPr>
              <w:overflowPunct/>
              <w:jc w:val="center"/>
              <w:textAlignment w:val="auto"/>
              <w:rPr>
                <w:rFonts w:asciiTheme="minorHAnsi" w:hAnsiTheme="minorHAnsi" w:cstheme="minorHAnsi"/>
                <w:color w:val="000000"/>
              </w:rPr>
            </w:pPr>
            <w:r w:rsidRPr="00214404">
              <w:rPr>
                <w:rFonts w:asciiTheme="minorHAnsi" w:hAnsiTheme="minorHAnsi" w:cstheme="minorHAnsi"/>
                <w:color w:val="000000"/>
              </w:rPr>
              <w:t>PC</w:t>
            </w:r>
          </w:p>
        </w:tc>
        <w:tc>
          <w:tcPr>
            <w:tcW w:w="869" w:type="dxa"/>
            <w:vAlign w:val="center"/>
          </w:tcPr>
          <w:p w14:paraId="1BB5FE49" w14:textId="40C0BCBD" w:rsidR="00293A1C" w:rsidRPr="00214404" w:rsidRDefault="00293A1C" w:rsidP="00501C66">
            <w:pPr>
              <w:overflowPunct/>
              <w:jc w:val="center"/>
              <w:textAlignment w:val="auto"/>
              <w:rPr>
                <w:rFonts w:asciiTheme="minorHAnsi" w:hAnsiTheme="minorHAnsi" w:cstheme="minorHAnsi"/>
                <w:color w:val="000000"/>
              </w:rPr>
            </w:pPr>
            <w:r w:rsidRPr="00214404">
              <w:rPr>
                <w:rFonts w:asciiTheme="minorHAnsi" w:hAnsiTheme="minorHAnsi" w:cstheme="minorHAnsi"/>
                <w:color w:val="000000"/>
              </w:rPr>
              <w:t>CC</w:t>
            </w:r>
          </w:p>
        </w:tc>
        <w:tc>
          <w:tcPr>
            <w:tcW w:w="1188" w:type="dxa"/>
            <w:vAlign w:val="center"/>
          </w:tcPr>
          <w:p w14:paraId="2FE8F576" w14:textId="77777777" w:rsidR="00293A1C" w:rsidRPr="00214404" w:rsidRDefault="00293A1C" w:rsidP="00501C66">
            <w:pPr>
              <w:overflowPunct/>
              <w:jc w:val="center"/>
              <w:textAlignment w:val="auto"/>
              <w:rPr>
                <w:rFonts w:asciiTheme="minorHAnsi" w:hAnsiTheme="minorHAnsi" w:cstheme="minorHAnsi"/>
                <w:color w:val="000000"/>
              </w:rPr>
            </w:pPr>
            <w:r w:rsidRPr="00214404">
              <w:rPr>
                <w:rFonts w:asciiTheme="minorHAnsi" w:hAnsiTheme="minorHAnsi" w:cstheme="minorHAnsi"/>
                <w:color w:val="000000"/>
              </w:rPr>
              <w:t>Yes</w:t>
            </w:r>
          </w:p>
        </w:tc>
        <w:tc>
          <w:tcPr>
            <w:tcW w:w="2046" w:type="dxa"/>
            <w:vAlign w:val="center"/>
          </w:tcPr>
          <w:p w14:paraId="171D7986" w14:textId="77777777" w:rsidR="00293A1C" w:rsidRPr="00214404" w:rsidRDefault="00293A1C" w:rsidP="00501C66">
            <w:pPr>
              <w:overflowPunct/>
              <w:jc w:val="center"/>
              <w:textAlignment w:val="auto"/>
              <w:rPr>
                <w:rFonts w:asciiTheme="minorHAnsi" w:hAnsiTheme="minorHAnsi" w:cstheme="minorHAnsi"/>
                <w:color w:val="000000"/>
              </w:rPr>
            </w:pPr>
            <w:r w:rsidRPr="00214404">
              <w:rPr>
                <w:rFonts w:asciiTheme="minorHAnsi" w:hAnsiTheme="minorHAnsi" w:cstheme="minorHAnsi"/>
                <w:color w:val="000000"/>
              </w:rPr>
              <w:t>Yes</w:t>
            </w:r>
          </w:p>
        </w:tc>
        <w:tc>
          <w:tcPr>
            <w:tcW w:w="1435" w:type="dxa"/>
            <w:vAlign w:val="center"/>
          </w:tcPr>
          <w:p w14:paraId="60CBD25C" w14:textId="2497500D" w:rsidR="00293A1C" w:rsidRPr="00214404" w:rsidRDefault="0075541E" w:rsidP="004C69F3">
            <w:pPr>
              <w:overflowPunct/>
              <w:jc w:val="center"/>
              <w:textAlignment w:val="auto"/>
              <w:rPr>
                <w:rFonts w:asciiTheme="minorHAnsi" w:hAnsiTheme="minorHAnsi" w:cstheme="minorHAnsi"/>
                <w:color w:val="000000"/>
              </w:rPr>
            </w:pPr>
            <w:r w:rsidRPr="00214404">
              <w:rPr>
                <w:rFonts w:asciiTheme="minorHAnsi" w:hAnsiTheme="minorHAnsi" w:cstheme="minorHAnsi"/>
                <w:color w:val="000000"/>
              </w:rPr>
              <w:t>TDC 33.120</w:t>
            </w:r>
          </w:p>
        </w:tc>
      </w:tr>
      <w:tr w:rsidR="00293A1C" w:rsidRPr="00214404" w14:paraId="5343D6C3" w14:textId="77777777" w:rsidTr="00293A1C">
        <w:tc>
          <w:tcPr>
            <w:tcW w:w="9350" w:type="dxa"/>
            <w:gridSpan w:val="7"/>
            <w:vAlign w:val="center"/>
          </w:tcPr>
          <w:p w14:paraId="1121A857" w14:textId="77777777" w:rsidR="00293A1C" w:rsidRPr="00214404" w:rsidRDefault="00293A1C" w:rsidP="00501C66">
            <w:pPr>
              <w:overflowPunct/>
              <w:textAlignment w:val="auto"/>
              <w:rPr>
                <w:rFonts w:cs="Calibri"/>
                <w:sz w:val="20"/>
              </w:rPr>
            </w:pPr>
            <w:r w:rsidRPr="00214404">
              <w:rPr>
                <w:rFonts w:cs="Calibri"/>
                <w:b/>
                <w:color w:val="000000"/>
                <w:sz w:val="20"/>
                <w:szCs w:val="23"/>
              </w:rPr>
              <w:t>[…]</w:t>
            </w:r>
          </w:p>
        </w:tc>
      </w:tr>
      <w:tr w:rsidR="00293A1C" w:rsidRPr="00214404" w14:paraId="5B1F698F" w14:textId="77777777" w:rsidTr="00293A1C">
        <w:tc>
          <w:tcPr>
            <w:tcW w:w="9350" w:type="dxa"/>
            <w:gridSpan w:val="7"/>
            <w:vAlign w:val="center"/>
          </w:tcPr>
          <w:p w14:paraId="6C92E9C7" w14:textId="77777777" w:rsidR="00293A1C" w:rsidRPr="00214404" w:rsidRDefault="00293A1C" w:rsidP="00501C66">
            <w:pPr>
              <w:overflowPunct/>
              <w:textAlignment w:val="auto"/>
              <w:rPr>
                <w:rFonts w:cs="Calibri"/>
                <w:sz w:val="18"/>
                <w:szCs w:val="18"/>
              </w:rPr>
            </w:pPr>
            <w:r w:rsidRPr="00214404">
              <w:rPr>
                <w:rFonts w:cs="Calibri"/>
                <w:color w:val="000000"/>
                <w:sz w:val="18"/>
                <w:szCs w:val="18"/>
              </w:rPr>
              <w:t>* City Council (CC); Planning Commission (PC); Architectural Review Board (ARB); City Manager or designee (CM); Land Use Board of Appeals (LUBA).</w:t>
            </w:r>
          </w:p>
        </w:tc>
      </w:tr>
    </w:tbl>
    <w:p w14:paraId="6AF1CF3C" w14:textId="14E6C493" w:rsidR="00DB59BC" w:rsidRDefault="00DB59BC" w:rsidP="00293A1C">
      <w:pPr>
        <w:overflowPunct/>
        <w:textAlignment w:val="auto"/>
        <w:rPr>
          <w:rFonts w:cs="Calibri"/>
          <w:b/>
          <w:color w:val="000000"/>
          <w:szCs w:val="22"/>
          <w:u w:val="single"/>
        </w:rPr>
      </w:pPr>
    </w:p>
    <w:p w14:paraId="205D12CC" w14:textId="710F16FD" w:rsidR="00293A1C" w:rsidRPr="00214404" w:rsidRDefault="00293A1C" w:rsidP="00293A1C">
      <w:pPr>
        <w:overflowPunct/>
        <w:textAlignment w:val="auto"/>
        <w:rPr>
          <w:rFonts w:cs="Calibri"/>
          <w:i/>
          <w:color w:val="000000"/>
          <w:szCs w:val="22"/>
        </w:rPr>
      </w:pPr>
      <w:r w:rsidRPr="00214404">
        <w:rPr>
          <w:rFonts w:cs="Calibri"/>
          <w:b/>
          <w:color w:val="000000"/>
          <w:szCs w:val="22"/>
          <w:u w:val="single"/>
        </w:rPr>
        <w:t>Finding</w:t>
      </w:r>
      <w:r w:rsidRPr="00E15D45">
        <w:rPr>
          <w:rFonts w:cs="Calibri"/>
          <w:b/>
          <w:color w:val="000000"/>
          <w:szCs w:val="22"/>
        </w:rPr>
        <w:t>:</w:t>
      </w:r>
    </w:p>
    <w:p w14:paraId="3B5CA1A0" w14:textId="5155E911" w:rsidR="004E76E9" w:rsidRPr="004E76E9" w:rsidRDefault="0075541E" w:rsidP="004E76E9">
      <w:pPr>
        <w:pStyle w:val="Staff"/>
        <w:rPr>
          <w:rStyle w:val="Strong"/>
          <w:b w:val="0"/>
          <w:bCs w:val="0"/>
        </w:rPr>
      </w:pPr>
      <w:r w:rsidRPr="0089718F">
        <w:t xml:space="preserve">The requested </w:t>
      </w:r>
      <w:r w:rsidR="0089718F" w:rsidRPr="0089718F">
        <w:t xml:space="preserve">Sign </w:t>
      </w:r>
      <w:r w:rsidR="00DF5C91" w:rsidRPr="0089718F">
        <w:t xml:space="preserve">Variance application is </w:t>
      </w:r>
      <w:r w:rsidRPr="0089718F">
        <w:t>classified as Type III Procedure Types ac</w:t>
      </w:r>
      <w:r w:rsidR="00E87031">
        <w:t>cording to Table 32-1. The application will be</w:t>
      </w:r>
      <w:r w:rsidRPr="0089718F">
        <w:t xml:space="preserve"> processed according to the applicable code for Type III procedures. This standard is met</w:t>
      </w:r>
      <w:r w:rsidR="004149F1">
        <w:t xml:space="preserve">. </w:t>
      </w:r>
    </w:p>
    <w:p w14:paraId="39385F3C" w14:textId="77777777" w:rsidR="004149F1" w:rsidRDefault="004149F1" w:rsidP="00293A1C">
      <w:pPr>
        <w:overflowPunct/>
        <w:spacing w:line="259" w:lineRule="auto"/>
        <w:textAlignment w:val="auto"/>
        <w:rPr>
          <w:rStyle w:val="Strong"/>
          <w:rFonts w:eastAsia="Calibri"/>
          <w:u w:val="single"/>
        </w:rPr>
      </w:pPr>
    </w:p>
    <w:p w14:paraId="3B2A2024" w14:textId="77777777" w:rsidR="004149F1" w:rsidRDefault="004149F1" w:rsidP="00293A1C">
      <w:pPr>
        <w:overflowPunct/>
        <w:spacing w:line="259" w:lineRule="auto"/>
        <w:textAlignment w:val="auto"/>
        <w:rPr>
          <w:rStyle w:val="Strong"/>
          <w:rFonts w:eastAsia="Calibri"/>
          <w:u w:val="single"/>
        </w:rPr>
      </w:pPr>
    </w:p>
    <w:p w14:paraId="474A89E6" w14:textId="3F65B052" w:rsidR="00293A1C" w:rsidRPr="00214404" w:rsidRDefault="00293A1C" w:rsidP="00293A1C">
      <w:pPr>
        <w:overflowPunct/>
        <w:spacing w:line="259" w:lineRule="auto"/>
        <w:textAlignment w:val="auto"/>
        <w:rPr>
          <w:rStyle w:val="Strong"/>
          <w:rFonts w:eastAsia="Calibri"/>
          <w:u w:val="single"/>
        </w:rPr>
      </w:pPr>
      <w:r w:rsidRPr="00214404">
        <w:rPr>
          <w:rStyle w:val="Strong"/>
          <w:rFonts w:eastAsia="Calibri"/>
          <w:u w:val="single"/>
        </w:rPr>
        <w:t>Section 32.030 – Time to Process Applications.</w:t>
      </w:r>
    </w:p>
    <w:p w14:paraId="11992828" w14:textId="77777777" w:rsidR="00293A1C" w:rsidRPr="00214404" w:rsidRDefault="00293A1C" w:rsidP="00293A1C">
      <w:pPr>
        <w:overflowPunct/>
        <w:textAlignment w:val="auto"/>
        <w:rPr>
          <w:rStyle w:val="Strong"/>
        </w:rPr>
      </w:pPr>
      <w:r w:rsidRPr="00214404">
        <w:rPr>
          <w:rStyle w:val="Strong"/>
        </w:rPr>
        <w:t>(1) Time Limit - 120-day Rule. The City must take final action on all Type II, Type III, and Type IV-A land use applications, as provided by ORS 227.178, including resolution of all local appeals, within 120 days after the application has been deemed complete under TDC 32.160, unless the applicant provides written request or consent to an extension in compliance with ORS 227.178. (Note: The 120-day rule does not apply to Type IV-B (Legislative Land Use) decisions.)</w:t>
      </w:r>
    </w:p>
    <w:p w14:paraId="3BA633B7" w14:textId="77777777" w:rsidR="00293A1C" w:rsidRPr="00214404" w:rsidRDefault="00293A1C" w:rsidP="00293A1C">
      <w:pPr>
        <w:overflowPunct/>
        <w:textAlignment w:val="auto"/>
        <w:rPr>
          <w:rStyle w:val="Strong"/>
        </w:rPr>
      </w:pPr>
      <w:r w:rsidRPr="00214404">
        <w:rPr>
          <w:rStyle w:val="Strong"/>
        </w:rPr>
        <w:t>[…]</w:t>
      </w:r>
    </w:p>
    <w:p w14:paraId="721ABB42" w14:textId="77777777" w:rsidR="00293A1C" w:rsidRPr="00214404" w:rsidRDefault="00293A1C" w:rsidP="00293A1C">
      <w:pPr>
        <w:overflowPunct/>
        <w:textAlignment w:val="auto"/>
        <w:rPr>
          <w:rFonts w:cs="Calibri"/>
          <w:b/>
          <w:color w:val="000000"/>
          <w:szCs w:val="22"/>
        </w:rPr>
      </w:pPr>
    </w:p>
    <w:p w14:paraId="068ED3A2" w14:textId="77777777" w:rsidR="00293A1C" w:rsidRPr="00214404" w:rsidRDefault="00293A1C" w:rsidP="00293A1C">
      <w:pPr>
        <w:overflowPunct/>
        <w:textAlignment w:val="auto"/>
        <w:rPr>
          <w:rFonts w:eastAsia="Calibri" w:cs="Calibri"/>
          <w:b/>
          <w:szCs w:val="22"/>
          <w:u w:val="single"/>
        </w:rPr>
      </w:pPr>
      <w:r w:rsidRPr="00214404">
        <w:rPr>
          <w:rFonts w:eastAsia="Calibri" w:cs="Calibri"/>
          <w:b/>
          <w:szCs w:val="22"/>
          <w:u w:val="single"/>
        </w:rPr>
        <w:t>Finding</w:t>
      </w:r>
      <w:r w:rsidRPr="00E15D45">
        <w:rPr>
          <w:rFonts w:eastAsia="Calibri" w:cs="Calibri"/>
          <w:b/>
          <w:szCs w:val="22"/>
        </w:rPr>
        <w:t>:</w:t>
      </w:r>
    </w:p>
    <w:p w14:paraId="1CE8D02C" w14:textId="4284EADB" w:rsidR="00A44076" w:rsidRPr="00505AFB" w:rsidRDefault="00D122E7" w:rsidP="00D122E7">
      <w:pPr>
        <w:overflowPunct/>
        <w:spacing w:line="259" w:lineRule="auto"/>
        <w:textAlignment w:val="auto"/>
        <w:rPr>
          <w:rFonts w:eastAsia="Calibri" w:cs="Calibri"/>
          <w:i/>
          <w:szCs w:val="22"/>
        </w:rPr>
      </w:pPr>
      <w:r w:rsidRPr="00505AFB">
        <w:rPr>
          <w:rFonts w:eastAsia="Calibri" w:cs="Calibri"/>
          <w:i/>
          <w:szCs w:val="22"/>
        </w:rPr>
        <w:t xml:space="preserve">The application was deemed complete on October </w:t>
      </w:r>
      <w:r w:rsidR="00C3189E" w:rsidRPr="00505AFB">
        <w:rPr>
          <w:rFonts w:eastAsia="Calibri" w:cs="Calibri"/>
          <w:i/>
          <w:szCs w:val="22"/>
        </w:rPr>
        <w:t>2</w:t>
      </w:r>
      <w:r w:rsidRPr="00505AFB">
        <w:rPr>
          <w:rFonts w:eastAsia="Calibri" w:cs="Calibri"/>
          <w:i/>
          <w:szCs w:val="22"/>
        </w:rPr>
        <w:t>, 20</w:t>
      </w:r>
      <w:r w:rsidR="00C3189E" w:rsidRPr="00505AFB">
        <w:rPr>
          <w:rFonts w:eastAsia="Calibri" w:cs="Calibri"/>
          <w:i/>
          <w:szCs w:val="22"/>
        </w:rPr>
        <w:t>24</w:t>
      </w:r>
      <w:r w:rsidRPr="00505AFB">
        <w:rPr>
          <w:rFonts w:eastAsia="Calibri" w:cs="Calibri"/>
          <w:i/>
          <w:szCs w:val="22"/>
        </w:rPr>
        <w:t xml:space="preserve">. The 120th day </w:t>
      </w:r>
      <w:r w:rsidR="00C3189E" w:rsidRPr="00505AFB">
        <w:rPr>
          <w:rFonts w:eastAsia="Calibri" w:cs="Calibri"/>
          <w:i/>
          <w:szCs w:val="22"/>
        </w:rPr>
        <w:t>will be January 30, 2025</w:t>
      </w:r>
      <w:r w:rsidRPr="00505AFB">
        <w:rPr>
          <w:rFonts w:eastAsia="Calibri" w:cs="Calibri"/>
          <w:i/>
          <w:szCs w:val="22"/>
        </w:rPr>
        <w:t xml:space="preserve">. The </w:t>
      </w:r>
      <w:r w:rsidR="00A44076" w:rsidRPr="00505AFB">
        <w:rPr>
          <w:rFonts w:eastAsia="Calibri" w:cs="Calibri"/>
          <w:i/>
          <w:szCs w:val="22"/>
        </w:rPr>
        <w:t xml:space="preserve">first </w:t>
      </w:r>
      <w:r w:rsidRPr="00505AFB">
        <w:rPr>
          <w:rFonts w:eastAsia="Calibri" w:cs="Calibri"/>
          <w:i/>
          <w:szCs w:val="22"/>
        </w:rPr>
        <w:t xml:space="preserve">hearing for </w:t>
      </w:r>
      <w:r w:rsidR="00C3189E" w:rsidRPr="00505AFB">
        <w:rPr>
          <w:rFonts w:eastAsia="Calibri" w:cs="Calibri"/>
          <w:i/>
          <w:szCs w:val="22"/>
        </w:rPr>
        <w:t>SVAR 24</w:t>
      </w:r>
      <w:r w:rsidRPr="00505AFB">
        <w:rPr>
          <w:rFonts w:eastAsia="Calibri" w:cs="Calibri"/>
          <w:i/>
          <w:szCs w:val="22"/>
        </w:rPr>
        <w:t>-000</w:t>
      </w:r>
      <w:r w:rsidR="00C3189E" w:rsidRPr="00505AFB">
        <w:rPr>
          <w:rFonts w:eastAsia="Calibri" w:cs="Calibri"/>
          <w:i/>
          <w:szCs w:val="22"/>
        </w:rPr>
        <w:t>1</w:t>
      </w:r>
      <w:r w:rsidR="00A44076" w:rsidRPr="00505AFB">
        <w:rPr>
          <w:rFonts w:eastAsia="Calibri" w:cs="Calibri"/>
          <w:i/>
          <w:szCs w:val="22"/>
        </w:rPr>
        <w:t xml:space="preserve"> was held on November 20, 2024. The Planning Commission continued the hearing to December 18, 2024. The applicant agreed to an extension of the 120-day rule in compliance with ORS 227.178. The applicant </w:t>
      </w:r>
      <w:r w:rsidR="00505AFB" w:rsidRPr="00505AFB">
        <w:rPr>
          <w:rFonts w:eastAsia="Calibri" w:cs="Calibri"/>
          <w:i/>
          <w:szCs w:val="22"/>
        </w:rPr>
        <w:t>granted a 30 day extension the revised deadline will be March 1, 2025.</w:t>
      </w:r>
      <w:r w:rsidR="00505AFB">
        <w:rPr>
          <w:rFonts w:eastAsia="Calibri" w:cs="Calibri"/>
          <w:i/>
          <w:szCs w:val="22"/>
        </w:rPr>
        <w:t xml:space="preserve"> This standard is met. </w:t>
      </w:r>
    </w:p>
    <w:p w14:paraId="498462C2" w14:textId="4407F56D" w:rsidR="00D122E7" w:rsidRPr="00214404" w:rsidRDefault="00D122E7" w:rsidP="00D122E7">
      <w:pPr>
        <w:overflowPunct/>
        <w:spacing w:line="259" w:lineRule="auto"/>
        <w:textAlignment w:val="auto"/>
        <w:rPr>
          <w:rFonts w:eastAsia="Calibri" w:cs="Calibri"/>
          <w:i/>
          <w:szCs w:val="22"/>
        </w:rPr>
      </w:pPr>
    </w:p>
    <w:p w14:paraId="78DCAD34" w14:textId="08193149" w:rsidR="00293A1C" w:rsidRPr="00214404" w:rsidRDefault="00293A1C" w:rsidP="00D122E7">
      <w:pPr>
        <w:overflowPunct/>
        <w:spacing w:line="259" w:lineRule="auto"/>
        <w:textAlignment w:val="auto"/>
        <w:rPr>
          <w:rStyle w:val="Strong"/>
          <w:rFonts w:eastAsia="Calibri"/>
          <w:u w:val="single"/>
        </w:rPr>
      </w:pPr>
      <w:r w:rsidRPr="00214404">
        <w:rPr>
          <w:rStyle w:val="Strong"/>
          <w:rFonts w:eastAsia="Calibri"/>
          <w:u w:val="single"/>
        </w:rPr>
        <w:t>Section 32.110 – Pre-Application Conference.</w:t>
      </w:r>
    </w:p>
    <w:p w14:paraId="44ED969B" w14:textId="77777777" w:rsidR="00293A1C" w:rsidRPr="00214404" w:rsidRDefault="00293A1C" w:rsidP="00293A1C">
      <w:pPr>
        <w:overflowPunct/>
        <w:textAlignment w:val="auto"/>
        <w:rPr>
          <w:rStyle w:val="Strong"/>
        </w:rPr>
      </w:pPr>
      <w:r w:rsidRPr="00214404">
        <w:rPr>
          <w:rStyle w:val="Strong"/>
        </w:rPr>
        <w:t>(1) Purpose of Pre-Application Conferences. Pre-application conferences are intended to familiarize applicants with the requirements of the TDC; to provide applicants with an opportunity discuss proposed projects in detail with City staff; and to identify approval criteria, standards, and procedures prior to filing a land use application. The pre-application conference is intended to be a tool to assist applicants in navigating the land use process, but is not intended to be an exhaustive review that identifies or resolves all potential issues, and does not bind or preclude the City from enforcing any applicable regulations or from applying regulations in a manner differently than may have been indicated at the time of the pre-application conference.</w:t>
      </w:r>
    </w:p>
    <w:p w14:paraId="69B795BE" w14:textId="77777777" w:rsidR="00293A1C" w:rsidRPr="00214404" w:rsidRDefault="00293A1C" w:rsidP="00293A1C">
      <w:pPr>
        <w:overflowPunct/>
        <w:textAlignment w:val="auto"/>
        <w:rPr>
          <w:rStyle w:val="Strong"/>
        </w:rPr>
      </w:pPr>
      <w:r w:rsidRPr="00214404">
        <w:rPr>
          <w:rStyle w:val="Strong"/>
        </w:rPr>
        <w:t>(2) When Mandatory. Pre-application conferences are mandatory for all land use actions identified as requiring a pre-application conference in Table 32-1. An applicant may voluntarily request a pre-application conference for any land use action even if it is not required.</w:t>
      </w:r>
    </w:p>
    <w:p w14:paraId="42F88745" w14:textId="77777777" w:rsidR="00293A1C" w:rsidRPr="00214404" w:rsidRDefault="00293A1C" w:rsidP="00293A1C">
      <w:pPr>
        <w:overflowPunct/>
        <w:textAlignment w:val="auto"/>
        <w:rPr>
          <w:rStyle w:val="Strong"/>
        </w:rPr>
      </w:pPr>
      <w:r w:rsidRPr="00214404">
        <w:rPr>
          <w:rStyle w:val="Strong"/>
        </w:rPr>
        <w:t>(3) Timing of Pre-Application Conference. A pre-application conference must be held with City staff before an applicant submits an application and before an applicant conducts a Neighborhood/Developer meeting.</w:t>
      </w:r>
    </w:p>
    <w:p w14:paraId="536A3576" w14:textId="77777777" w:rsidR="00293A1C" w:rsidRPr="00214404" w:rsidRDefault="00293A1C" w:rsidP="00293A1C">
      <w:pPr>
        <w:overflowPunct/>
        <w:textAlignment w:val="auto"/>
        <w:rPr>
          <w:rStyle w:val="Strong"/>
        </w:rPr>
      </w:pPr>
      <w:r w:rsidRPr="00214404">
        <w:rPr>
          <w:rStyle w:val="Strong"/>
        </w:rPr>
        <w:t>(4) Application Requirements for Pre-Application Conference.</w:t>
      </w:r>
    </w:p>
    <w:p w14:paraId="2C91D014" w14:textId="77777777" w:rsidR="00293A1C" w:rsidRPr="00214404" w:rsidRDefault="00293A1C" w:rsidP="00293A1C">
      <w:pPr>
        <w:overflowPunct/>
        <w:ind w:left="360"/>
        <w:textAlignment w:val="auto"/>
        <w:rPr>
          <w:rStyle w:val="Strong"/>
        </w:rPr>
      </w:pPr>
      <w:r w:rsidRPr="00214404">
        <w:rPr>
          <w:rStyle w:val="Strong"/>
        </w:rPr>
        <w:t>(a) Application Form. Pre-application conference requests must be made on forms provided by the City Manager.</w:t>
      </w:r>
    </w:p>
    <w:p w14:paraId="70E84B6E" w14:textId="77777777" w:rsidR="00293A1C" w:rsidRPr="00214404" w:rsidRDefault="00293A1C" w:rsidP="00293A1C">
      <w:pPr>
        <w:overflowPunct/>
        <w:ind w:left="360"/>
        <w:textAlignment w:val="auto"/>
        <w:rPr>
          <w:rStyle w:val="Strong"/>
        </w:rPr>
      </w:pPr>
      <w:r w:rsidRPr="00214404">
        <w:rPr>
          <w:rStyle w:val="Strong"/>
        </w:rPr>
        <w:t>(b) Submittal Requirements. Pre-application conference requests must include:</w:t>
      </w:r>
    </w:p>
    <w:p w14:paraId="1AA2B5B2" w14:textId="77777777" w:rsidR="00293A1C" w:rsidRPr="00214404" w:rsidRDefault="00293A1C" w:rsidP="00293A1C">
      <w:pPr>
        <w:overflowPunct/>
        <w:ind w:left="720"/>
        <w:textAlignment w:val="auto"/>
        <w:rPr>
          <w:rStyle w:val="Strong"/>
        </w:rPr>
      </w:pPr>
      <w:r w:rsidRPr="00214404">
        <w:rPr>
          <w:rStyle w:val="Strong"/>
        </w:rPr>
        <w:t>(</w:t>
      </w:r>
      <w:proofErr w:type="spellStart"/>
      <w:r w:rsidRPr="00214404">
        <w:rPr>
          <w:rStyle w:val="Strong"/>
        </w:rPr>
        <w:t>i</w:t>
      </w:r>
      <w:proofErr w:type="spellEnd"/>
      <w:r w:rsidRPr="00214404">
        <w:rPr>
          <w:rStyle w:val="Strong"/>
        </w:rPr>
        <w:t>) A completed application form;</w:t>
      </w:r>
    </w:p>
    <w:p w14:paraId="6F213585" w14:textId="77777777" w:rsidR="00293A1C" w:rsidRPr="00214404" w:rsidRDefault="00293A1C" w:rsidP="00293A1C">
      <w:pPr>
        <w:overflowPunct/>
        <w:ind w:left="720"/>
        <w:textAlignment w:val="auto"/>
        <w:rPr>
          <w:rStyle w:val="Strong"/>
        </w:rPr>
      </w:pPr>
      <w:r w:rsidRPr="00214404">
        <w:rPr>
          <w:rStyle w:val="Strong"/>
        </w:rPr>
        <w:t>(ii) Payment of the application fee;</w:t>
      </w:r>
    </w:p>
    <w:p w14:paraId="680F1092" w14:textId="77777777" w:rsidR="00293A1C" w:rsidRPr="00214404" w:rsidRDefault="00293A1C" w:rsidP="00293A1C">
      <w:pPr>
        <w:overflowPunct/>
        <w:ind w:left="720"/>
        <w:textAlignment w:val="auto"/>
        <w:rPr>
          <w:rStyle w:val="Strong"/>
        </w:rPr>
      </w:pPr>
      <w:r w:rsidRPr="00214404">
        <w:rPr>
          <w:rStyle w:val="Strong"/>
        </w:rPr>
        <w:t>(iii) The information required, if any, for the specific pre-application conference sought; and</w:t>
      </w:r>
    </w:p>
    <w:p w14:paraId="24FBA88D" w14:textId="77777777" w:rsidR="00293A1C" w:rsidRPr="00214404" w:rsidRDefault="00293A1C" w:rsidP="00293A1C">
      <w:pPr>
        <w:overflowPunct/>
        <w:ind w:left="720"/>
        <w:textAlignment w:val="auto"/>
        <w:rPr>
          <w:rStyle w:val="Strong"/>
        </w:rPr>
      </w:pPr>
      <w:proofErr w:type="gramStart"/>
      <w:r w:rsidRPr="00214404">
        <w:rPr>
          <w:rStyle w:val="Strong"/>
        </w:rPr>
        <w:t>(iv) Any</w:t>
      </w:r>
      <w:proofErr w:type="gramEnd"/>
      <w:r w:rsidRPr="00214404">
        <w:rPr>
          <w:rStyle w:val="Strong"/>
        </w:rPr>
        <w:t xml:space="preserve"> additional information the applicant deems necessary to demonstrate the nature and scope of the proposal in sufficient detail to allow City staff to review and comment.</w:t>
      </w:r>
    </w:p>
    <w:p w14:paraId="657DF832" w14:textId="77777777" w:rsidR="00293A1C" w:rsidRPr="00214404" w:rsidRDefault="00293A1C" w:rsidP="00293A1C">
      <w:pPr>
        <w:overflowPunct/>
        <w:textAlignment w:val="auto"/>
        <w:rPr>
          <w:rStyle w:val="Strong"/>
        </w:rPr>
      </w:pPr>
      <w:r w:rsidRPr="00214404">
        <w:rPr>
          <w:rStyle w:val="Strong"/>
        </w:rPr>
        <w:t>(5) Scheduling of Pre-Application Conference. Upon receipt of a complete application, the City Manager will schedule the pre-application conference. The City Manager will coordinate the involvement of city departments, as appropriate, in the pre-application conference. Pre-application conferences are not open to the general public.</w:t>
      </w:r>
    </w:p>
    <w:p w14:paraId="2CA7813D" w14:textId="77777777" w:rsidR="00293A1C" w:rsidRPr="00214404" w:rsidRDefault="00293A1C" w:rsidP="00293A1C">
      <w:pPr>
        <w:overflowPunct/>
        <w:textAlignment w:val="auto"/>
        <w:rPr>
          <w:rStyle w:val="Strong"/>
        </w:rPr>
      </w:pPr>
      <w:r w:rsidRPr="00214404">
        <w:rPr>
          <w:rStyle w:val="Strong"/>
        </w:rPr>
        <w:lastRenderedPageBreak/>
        <w:t>(6) Validity Period for Mandatory Pre-Application Conferences; Follow-Up Conferences. A follow-up conference is required for those mandatory pre-application conferences that have previously been held when:</w:t>
      </w:r>
    </w:p>
    <w:p w14:paraId="3115CA4B" w14:textId="77777777" w:rsidR="00293A1C" w:rsidRPr="00214404" w:rsidRDefault="00293A1C" w:rsidP="00293A1C">
      <w:pPr>
        <w:overflowPunct/>
        <w:ind w:left="360"/>
        <w:textAlignment w:val="auto"/>
        <w:rPr>
          <w:rStyle w:val="Strong"/>
        </w:rPr>
      </w:pPr>
      <w:r w:rsidRPr="00214404">
        <w:rPr>
          <w:rStyle w:val="Strong"/>
        </w:rPr>
        <w:t>(a) An application relating to the proposed development that was the subject of the pre-application conference has not been submitted within six (6) months of the pre-application conference;</w:t>
      </w:r>
    </w:p>
    <w:p w14:paraId="2BFE5D83" w14:textId="77777777" w:rsidR="00293A1C" w:rsidRPr="00214404" w:rsidRDefault="00293A1C" w:rsidP="00293A1C">
      <w:pPr>
        <w:overflowPunct/>
        <w:ind w:left="360"/>
        <w:textAlignment w:val="auto"/>
        <w:rPr>
          <w:rStyle w:val="Strong"/>
        </w:rPr>
      </w:pPr>
      <w:r w:rsidRPr="00214404">
        <w:rPr>
          <w:rStyle w:val="Strong"/>
        </w:rPr>
        <w:t>(b) The proposed use, layout, and/or design of the proposal have significantly changed; or</w:t>
      </w:r>
    </w:p>
    <w:p w14:paraId="58564241" w14:textId="77777777" w:rsidR="00293A1C" w:rsidRPr="00214404" w:rsidRDefault="00293A1C" w:rsidP="00293A1C">
      <w:pPr>
        <w:overflowPunct/>
        <w:ind w:left="360"/>
        <w:textAlignment w:val="auto"/>
        <w:rPr>
          <w:rStyle w:val="Strong"/>
        </w:rPr>
      </w:pPr>
      <w:r w:rsidRPr="00214404">
        <w:rPr>
          <w:rStyle w:val="Strong"/>
        </w:rPr>
        <w:t xml:space="preserve">(c) The owner and/or developer of a project changes after the pre-application conference and prior to application submittal. </w:t>
      </w:r>
    </w:p>
    <w:p w14:paraId="5DCF2008" w14:textId="77777777" w:rsidR="00A42170" w:rsidRPr="00214404" w:rsidRDefault="00A42170" w:rsidP="00293A1C">
      <w:pPr>
        <w:overflowPunct/>
        <w:textAlignment w:val="auto"/>
        <w:rPr>
          <w:rFonts w:eastAsia="Calibri" w:cs="Calibri"/>
          <w:b/>
          <w:szCs w:val="22"/>
          <w:u w:val="single"/>
        </w:rPr>
      </w:pPr>
    </w:p>
    <w:p w14:paraId="182D7E6A" w14:textId="5036B51E" w:rsidR="00293A1C" w:rsidRPr="00214404" w:rsidRDefault="00293A1C" w:rsidP="00293A1C">
      <w:pPr>
        <w:overflowPunct/>
        <w:textAlignment w:val="auto"/>
        <w:rPr>
          <w:rFonts w:eastAsia="Calibri" w:cs="Calibri"/>
          <w:b/>
          <w:szCs w:val="22"/>
          <w:u w:val="single"/>
        </w:rPr>
      </w:pPr>
      <w:r w:rsidRPr="00214404">
        <w:rPr>
          <w:rFonts w:eastAsia="Calibri" w:cs="Calibri"/>
          <w:b/>
          <w:szCs w:val="22"/>
          <w:u w:val="single"/>
        </w:rPr>
        <w:t>Finding</w:t>
      </w:r>
      <w:r w:rsidRPr="00E15D45">
        <w:rPr>
          <w:rFonts w:eastAsia="Calibri" w:cs="Calibri"/>
          <w:b/>
          <w:szCs w:val="22"/>
        </w:rPr>
        <w:t>:</w:t>
      </w:r>
    </w:p>
    <w:p w14:paraId="414423E7" w14:textId="36B3C2AD" w:rsidR="00931FA2" w:rsidRPr="00931FA2" w:rsidRDefault="00931FA2" w:rsidP="00501C66">
      <w:pPr>
        <w:pStyle w:val="Staff"/>
        <w:rPr>
          <w:rFonts w:eastAsia="Calibri"/>
        </w:rPr>
      </w:pPr>
      <w:r w:rsidRPr="00931FA2">
        <w:rPr>
          <w:rFonts w:eastAsia="Calibri"/>
        </w:rPr>
        <w:t>A Pre-Application M</w:t>
      </w:r>
      <w:r w:rsidR="00293A1C" w:rsidRPr="00931FA2">
        <w:rPr>
          <w:rFonts w:eastAsia="Calibri"/>
        </w:rPr>
        <w:t>eeting is mandatory</w:t>
      </w:r>
      <w:r w:rsidRPr="00931FA2">
        <w:rPr>
          <w:rFonts w:eastAsia="Calibri"/>
        </w:rPr>
        <w:t xml:space="preserve"> for Type </w:t>
      </w:r>
      <w:r w:rsidRPr="00931FA2">
        <w:rPr>
          <w:rFonts w:eastAsia="Calibri" w:cstheme="minorHAnsi"/>
        </w:rPr>
        <w:t>ꓲꓲꓲ</w:t>
      </w:r>
      <w:r w:rsidRPr="00931FA2">
        <w:rPr>
          <w:rFonts w:eastAsia="Calibri"/>
        </w:rPr>
        <w:t xml:space="preserve"> Sign Variance applications. </w:t>
      </w:r>
      <w:r>
        <w:rPr>
          <w:rFonts w:eastAsia="Calibri"/>
        </w:rPr>
        <w:t>The applicant participated in a Pre-Application Meeting on September 24, 2023. The applicant remained in contact with City Staff and</w:t>
      </w:r>
      <w:r w:rsidR="00E87031">
        <w:rPr>
          <w:rFonts w:eastAsia="Calibri"/>
        </w:rPr>
        <w:t xml:space="preserve"> has</w:t>
      </w:r>
      <w:r>
        <w:rPr>
          <w:rFonts w:eastAsia="Calibri"/>
        </w:rPr>
        <w:t xml:space="preserve"> had subsequent follow-up meetings to maintain the validity of the initial Pre-Application Meeting. These standards are met. </w:t>
      </w:r>
    </w:p>
    <w:p w14:paraId="48D2172B" w14:textId="2FEA520F" w:rsidR="00293A1C" w:rsidRPr="00214404" w:rsidRDefault="00293A1C" w:rsidP="00293A1C">
      <w:pPr>
        <w:overflowPunct/>
        <w:spacing w:line="259" w:lineRule="auto"/>
        <w:textAlignment w:val="auto"/>
        <w:rPr>
          <w:rFonts w:eastAsia="Calibri"/>
          <w:szCs w:val="22"/>
          <w:u w:val="single"/>
        </w:rPr>
      </w:pPr>
      <w:r w:rsidRPr="00214404">
        <w:rPr>
          <w:rFonts w:eastAsia="Calibri"/>
          <w:b/>
          <w:szCs w:val="22"/>
          <w:u w:val="single"/>
        </w:rPr>
        <w:t>Section 32.120 – Neighborhood/Developer Meetings.</w:t>
      </w:r>
    </w:p>
    <w:p w14:paraId="3ECFB1C6" w14:textId="77777777" w:rsidR="00293A1C" w:rsidRPr="00214404" w:rsidRDefault="00293A1C" w:rsidP="00293A1C">
      <w:pPr>
        <w:overflowPunct/>
        <w:textAlignment w:val="auto"/>
        <w:rPr>
          <w:rFonts w:cs="Calibri"/>
          <w:b/>
          <w:color w:val="000000"/>
          <w:szCs w:val="22"/>
        </w:rPr>
      </w:pPr>
      <w:r w:rsidRPr="00214404">
        <w:rPr>
          <w:rFonts w:cs="Calibri"/>
          <w:b/>
          <w:color w:val="000000"/>
          <w:szCs w:val="22"/>
        </w:rPr>
        <w:t>(1) </w:t>
      </w:r>
      <w:r w:rsidRPr="00214404">
        <w:rPr>
          <w:rFonts w:cs="Calibri"/>
          <w:b/>
          <w:bCs/>
          <w:color w:val="000000"/>
          <w:szCs w:val="22"/>
        </w:rPr>
        <w:t>Purpose. </w:t>
      </w:r>
      <w:r w:rsidRPr="00214404">
        <w:rPr>
          <w:rFonts w:cs="Calibri"/>
          <w:b/>
          <w:color w:val="000000"/>
          <w:szCs w:val="22"/>
        </w:rPr>
        <w:t>The purpose of this meeting is to provide a means for the applicant and surrounding property owners to meet to review a development proposal and identify issues regarding the proposal so they can be considered prior to the application submittal. The meeting is intended to allow the developer and neighbors to share information and concerns regarding the project. The applicant may consider whether to incorporate solutions to these issues prior to application submittal.</w:t>
      </w:r>
    </w:p>
    <w:p w14:paraId="40E3DB03" w14:textId="77777777" w:rsidR="00293A1C" w:rsidRPr="00214404" w:rsidRDefault="00293A1C" w:rsidP="00293A1C">
      <w:pPr>
        <w:overflowPunct/>
        <w:textAlignment w:val="auto"/>
        <w:rPr>
          <w:rFonts w:cs="Calibri"/>
          <w:b/>
          <w:color w:val="000000"/>
          <w:szCs w:val="22"/>
        </w:rPr>
      </w:pPr>
      <w:r w:rsidRPr="00214404">
        <w:rPr>
          <w:rFonts w:cs="Calibri"/>
          <w:b/>
          <w:color w:val="000000"/>
          <w:szCs w:val="22"/>
        </w:rPr>
        <w:t>(2) </w:t>
      </w:r>
      <w:r w:rsidRPr="00214404">
        <w:rPr>
          <w:rFonts w:cs="Calibri"/>
          <w:b/>
          <w:bCs/>
          <w:color w:val="000000"/>
          <w:szCs w:val="22"/>
        </w:rPr>
        <w:t>When Mandatory.</w:t>
      </w:r>
      <w:r w:rsidRPr="00214404">
        <w:rPr>
          <w:rFonts w:cs="Calibri"/>
          <w:color w:val="000000"/>
          <w:szCs w:val="22"/>
        </w:rPr>
        <w:t> </w:t>
      </w:r>
      <w:r w:rsidRPr="00214404">
        <w:rPr>
          <w:rFonts w:cs="Calibri"/>
          <w:b/>
          <w:color w:val="000000"/>
          <w:szCs w:val="22"/>
        </w:rPr>
        <w:t>Neighborhood/developer meetings are mandatory for all land use actions identified in Table 32-1 as requiring a neighborhood/developer meeting. An applicant may voluntarily conduct a neighborhood/developer meeting even if it is not required and may conduct more than one neighborhood/developer meeting at their election.</w:t>
      </w:r>
    </w:p>
    <w:p w14:paraId="0055D304" w14:textId="77777777" w:rsidR="00293A1C" w:rsidRPr="00214404" w:rsidRDefault="00293A1C" w:rsidP="00293A1C">
      <w:pPr>
        <w:overflowPunct/>
        <w:textAlignment w:val="auto"/>
        <w:rPr>
          <w:rFonts w:cs="Calibri"/>
          <w:b/>
          <w:color w:val="000000"/>
          <w:szCs w:val="22"/>
        </w:rPr>
      </w:pPr>
      <w:r w:rsidRPr="00214404">
        <w:rPr>
          <w:rFonts w:cs="Calibri"/>
          <w:b/>
          <w:color w:val="000000"/>
          <w:szCs w:val="22"/>
        </w:rPr>
        <w:t>(3) </w:t>
      </w:r>
      <w:r w:rsidRPr="00214404">
        <w:rPr>
          <w:rFonts w:cs="Calibri"/>
          <w:b/>
          <w:bCs/>
          <w:color w:val="000000"/>
          <w:szCs w:val="22"/>
        </w:rPr>
        <w:t>Timing.</w:t>
      </w:r>
      <w:r w:rsidRPr="00214404">
        <w:rPr>
          <w:rFonts w:cs="Calibri"/>
          <w:b/>
          <w:color w:val="000000"/>
          <w:szCs w:val="22"/>
        </w:rPr>
        <w:t> A neighborhood/developer meeting must be held after a pre-application meeting with City staff, but before submittal of an application.</w:t>
      </w:r>
    </w:p>
    <w:p w14:paraId="778CFA85" w14:textId="77777777" w:rsidR="00293A1C" w:rsidRPr="00214404" w:rsidRDefault="00293A1C" w:rsidP="00293A1C">
      <w:pPr>
        <w:overflowPunct/>
        <w:textAlignment w:val="auto"/>
        <w:rPr>
          <w:rFonts w:cs="Calibri"/>
          <w:b/>
          <w:color w:val="000000"/>
          <w:szCs w:val="22"/>
        </w:rPr>
      </w:pPr>
      <w:r w:rsidRPr="00214404">
        <w:rPr>
          <w:rFonts w:cs="Calibri"/>
          <w:b/>
          <w:color w:val="000000"/>
          <w:szCs w:val="22"/>
        </w:rPr>
        <w:t>(4) </w:t>
      </w:r>
      <w:r w:rsidRPr="00214404">
        <w:rPr>
          <w:rFonts w:cs="Calibri"/>
          <w:b/>
          <w:bCs/>
          <w:color w:val="000000"/>
          <w:szCs w:val="22"/>
        </w:rPr>
        <w:t>Time and Location.</w:t>
      </w:r>
      <w:r w:rsidRPr="00214404">
        <w:rPr>
          <w:rFonts w:cs="Calibri"/>
          <w:b/>
          <w:color w:val="000000"/>
          <w:szCs w:val="22"/>
        </w:rPr>
        <w:t> Required neighborhood/developer meetings must be held within the city limits of the City of Tualatin at the following times:</w:t>
      </w:r>
    </w:p>
    <w:p w14:paraId="7673B7C0" w14:textId="77777777" w:rsidR="00293A1C" w:rsidRPr="00214404" w:rsidRDefault="00293A1C" w:rsidP="00293A1C">
      <w:pPr>
        <w:overflowPunct/>
        <w:ind w:left="360"/>
        <w:textAlignment w:val="auto"/>
        <w:rPr>
          <w:rFonts w:cs="Calibri"/>
          <w:b/>
          <w:color w:val="000000"/>
          <w:szCs w:val="22"/>
        </w:rPr>
      </w:pPr>
      <w:r w:rsidRPr="00214404">
        <w:rPr>
          <w:rFonts w:cs="Calibri"/>
          <w:b/>
          <w:color w:val="000000"/>
          <w:szCs w:val="22"/>
        </w:rPr>
        <w:t>(a) If scheduled on a weekday, the meeting must begin no earlier than 6:00 p.m.</w:t>
      </w:r>
    </w:p>
    <w:p w14:paraId="505D3D81" w14:textId="77777777" w:rsidR="00293A1C" w:rsidRPr="00214404" w:rsidRDefault="00293A1C" w:rsidP="00293A1C">
      <w:pPr>
        <w:overflowPunct/>
        <w:ind w:left="360"/>
        <w:textAlignment w:val="auto"/>
        <w:rPr>
          <w:rFonts w:cs="Calibri"/>
          <w:b/>
          <w:color w:val="000000"/>
          <w:szCs w:val="22"/>
        </w:rPr>
      </w:pPr>
      <w:r w:rsidRPr="00214404">
        <w:rPr>
          <w:rFonts w:cs="Calibri"/>
          <w:b/>
          <w:color w:val="000000"/>
          <w:szCs w:val="22"/>
        </w:rPr>
        <w:t>(b) If scheduled on a weekend, the meeting must begin between 10:00 a.m. and 6:00 p.m.</w:t>
      </w:r>
    </w:p>
    <w:p w14:paraId="240D6857" w14:textId="77777777" w:rsidR="00293A1C" w:rsidRPr="00214404" w:rsidRDefault="00293A1C" w:rsidP="00293A1C">
      <w:pPr>
        <w:overflowPunct/>
        <w:textAlignment w:val="auto"/>
        <w:rPr>
          <w:rFonts w:cs="Calibri"/>
          <w:color w:val="000000"/>
          <w:szCs w:val="22"/>
        </w:rPr>
      </w:pPr>
      <w:r w:rsidRPr="00214404">
        <w:rPr>
          <w:rFonts w:cs="Calibri"/>
          <w:b/>
          <w:color w:val="000000"/>
          <w:szCs w:val="22"/>
        </w:rPr>
        <w:t>(5</w:t>
      </w:r>
      <w:r w:rsidRPr="00214404">
        <w:rPr>
          <w:rFonts w:cs="Calibri"/>
          <w:color w:val="000000"/>
          <w:szCs w:val="22"/>
        </w:rPr>
        <w:t>) </w:t>
      </w:r>
      <w:r w:rsidRPr="00214404">
        <w:rPr>
          <w:rFonts w:cs="Calibri"/>
          <w:b/>
          <w:bCs/>
          <w:color w:val="000000"/>
          <w:szCs w:val="22"/>
        </w:rPr>
        <w:t>Notice Requirements.</w:t>
      </w:r>
      <w:r w:rsidRPr="00214404">
        <w:rPr>
          <w:rFonts w:cs="Calibri"/>
          <w:color w:val="000000"/>
          <w:szCs w:val="22"/>
        </w:rPr>
        <w:t> </w:t>
      </w:r>
    </w:p>
    <w:p w14:paraId="3168895A" w14:textId="77777777" w:rsidR="00293A1C" w:rsidRPr="00214404" w:rsidRDefault="00293A1C" w:rsidP="00293A1C">
      <w:pPr>
        <w:overflowPunct/>
        <w:ind w:left="360"/>
        <w:textAlignment w:val="auto"/>
        <w:rPr>
          <w:rFonts w:cs="Calibri"/>
          <w:b/>
          <w:color w:val="000000"/>
          <w:szCs w:val="22"/>
        </w:rPr>
      </w:pPr>
      <w:r w:rsidRPr="00214404">
        <w:rPr>
          <w:rFonts w:cs="Calibri"/>
          <w:b/>
          <w:color w:val="000000"/>
          <w:szCs w:val="22"/>
        </w:rPr>
        <w:t>(a) The applicant must provide notice of the meeting at least 14 calendar days and no more than 28 calendar days before the meeting. The notice must be by first class mail providing the date, time, and location of the meeting, as well as a brief description of the proposal and its location. The applicant must keep a copy of the notice to be submitted with their land use application.</w:t>
      </w:r>
    </w:p>
    <w:p w14:paraId="126A20EF" w14:textId="77777777" w:rsidR="00293A1C" w:rsidRPr="00214404" w:rsidRDefault="00293A1C" w:rsidP="00293A1C">
      <w:pPr>
        <w:overflowPunct/>
        <w:ind w:left="360"/>
        <w:textAlignment w:val="auto"/>
        <w:rPr>
          <w:rFonts w:cs="Calibri"/>
          <w:b/>
          <w:color w:val="000000"/>
          <w:szCs w:val="22"/>
        </w:rPr>
      </w:pPr>
      <w:r w:rsidRPr="00214404">
        <w:rPr>
          <w:rFonts w:cs="Calibri"/>
          <w:b/>
          <w:color w:val="000000"/>
          <w:szCs w:val="22"/>
        </w:rPr>
        <w:t>(b) The applicant must mail notice of a neighborhood/developer meeting to the following persons:</w:t>
      </w:r>
    </w:p>
    <w:p w14:paraId="0C7E1F22" w14:textId="77777777" w:rsidR="00293A1C" w:rsidRPr="00214404" w:rsidRDefault="00293A1C" w:rsidP="00293A1C">
      <w:pPr>
        <w:overflowPunct/>
        <w:ind w:left="720"/>
        <w:textAlignment w:val="auto"/>
        <w:rPr>
          <w:rFonts w:cs="Calibri"/>
          <w:b/>
          <w:color w:val="000000"/>
          <w:szCs w:val="22"/>
        </w:rPr>
      </w:pPr>
      <w:r w:rsidRPr="00214404">
        <w:rPr>
          <w:rFonts w:cs="Calibri"/>
          <w:b/>
          <w:color w:val="000000"/>
          <w:szCs w:val="22"/>
        </w:rPr>
        <w:t>(</w:t>
      </w:r>
      <w:proofErr w:type="spellStart"/>
      <w:r w:rsidRPr="00214404">
        <w:rPr>
          <w:rFonts w:cs="Calibri"/>
          <w:b/>
          <w:color w:val="000000"/>
          <w:szCs w:val="22"/>
        </w:rPr>
        <w:t>i</w:t>
      </w:r>
      <w:proofErr w:type="spellEnd"/>
      <w:r w:rsidRPr="00214404">
        <w:rPr>
          <w:rFonts w:cs="Calibri"/>
          <w:b/>
          <w:color w:val="000000"/>
          <w:szCs w:val="22"/>
        </w:rPr>
        <w:t>) All property owners within 1,000 feet measured from the boundaries of the subject property; </w:t>
      </w:r>
    </w:p>
    <w:p w14:paraId="5D7D1891" w14:textId="77777777" w:rsidR="00293A1C" w:rsidRPr="00214404" w:rsidRDefault="00293A1C" w:rsidP="00293A1C">
      <w:pPr>
        <w:overflowPunct/>
        <w:ind w:left="720"/>
        <w:textAlignment w:val="auto"/>
        <w:rPr>
          <w:rFonts w:cs="Calibri"/>
          <w:b/>
          <w:color w:val="000000"/>
          <w:szCs w:val="22"/>
        </w:rPr>
      </w:pPr>
      <w:r w:rsidRPr="00214404">
        <w:rPr>
          <w:rFonts w:cs="Calibri"/>
          <w:b/>
          <w:color w:val="000000"/>
          <w:szCs w:val="22"/>
        </w:rPr>
        <w:t>(ii) All property owners within a platted residential subdivision that is located within 1,000 feet of the boundaries of the subject property. The notice area includes the entire subdivision and not just those lots within 1,000 feet. If the residential subdivision is one of two or more individually platted phases sharing a single subdivision name, the notice area need not include the additional phases; and</w:t>
      </w:r>
    </w:p>
    <w:p w14:paraId="23245BE1" w14:textId="77777777" w:rsidR="00293A1C" w:rsidRPr="00214404" w:rsidRDefault="00293A1C" w:rsidP="00293A1C">
      <w:pPr>
        <w:overflowPunct/>
        <w:ind w:left="720"/>
        <w:textAlignment w:val="auto"/>
        <w:rPr>
          <w:rFonts w:cs="Calibri"/>
          <w:b/>
          <w:color w:val="000000"/>
          <w:szCs w:val="22"/>
        </w:rPr>
      </w:pPr>
      <w:r w:rsidRPr="00214404">
        <w:rPr>
          <w:rFonts w:cs="Calibri"/>
          <w:b/>
          <w:color w:val="000000"/>
          <w:szCs w:val="22"/>
        </w:rPr>
        <w:lastRenderedPageBreak/>
        <w:t>(iii) All designated representatives of recognized Citizen Involvement Organizations as established in TMC Chapter 11-9. </w:t>
      </w:r>
    </w:p>
    <w:p w14:paraId="44E57B1D" w14:textId="77777777" w:rsidR="00293A1C" w:rsidRPr="00214404" w:rsidRDefault="00293A1C" w:rsidP="00293A1C">
      <w:pPr>
        <w:overflowPunct/>
        <w:ind w:left="360"/>
        <w:textAlignment w:val="auto"/>
        <w:rPr>
          <w:rFonts w:cs="Calibri"/>
          <w:b/>
          <w:color w:val="000000"/>
          <w:szCs w:val="22"/>
        </w:rPr>
      </w:pPr>
      <w:r w:rsidRPr="00214404">
        <w:rPr>
          <w:rFonts w:cs="Calibri"/>
          <w:b/>
          <w:color w:val="000000"/>
          <w:szCs w:val="22"/>
        </w:rPr>
        <w:t>(c) The City will provide the applicant with labels for mailing for a fee.</w:t>
      </w:r>
    </w:p>
    <w:p w14:paraId="32B0E01A" w14:textId="77777777" w:rsidR="00293A1C" w:rsidRPr="00214404" w:rsidRDefault="00293A1C" w:rsidP="00293A1C">
      <w:pPr>
        <w:overflowPunct/>
        <w:ind w:left="360"/>
        <w:textAlignment w:val="auto"/>
        <w:rPr>
          <w:rFonts w:cs="Calibri"/>
          <w:b/>
          <w:color w:val="000000"/>
          <w:szCs w:val="22"/>
        </w:rPr>
      </w:pPr>
      <w:r w:rsidRPr="00214404">
        <w:rPr>
          <w:rFonts w:cs="Calibri"/>
          <w:b/>
          <w:color w:val="000000"/>
          <w:szCs w:val="22"/>
        </w:rPr>
        <w:t>(d) Failure of a property owner to receive notice does not invalidate the neighborhood/developer meeting proceedings.</w:t>
      </w:r>
    </w:p>
    <w:p w14:paraId="469213BF" w14:textId="77777777" w:rsidR="00293A1C" w:rsidRPr="00214404" w:rsidRDefault="00293A1C" w:rsidP="00293A1C">
      <w:pPr>
        <w:overflowPunct/>
        <w:textAlignment w:val="auto"/>
        <w:rPr>
          <w:rFonts w:cs="Calibri"/>
          <w:b/>
          <w:color w:val="000000"/>
          <w:szCs w:val="22"/>
        </w:rPr>
      </w:pPr>
      <w:r w:rsidRPr="00214404">
        <w:rPr>
          <w:rFonts w:cs="Calibri"/>
          <w:b/>
          <w:color w:val="000000"/>
          <w:szCs w:val="22"/>
        </w:rPr>
        <w:t>(6) </w:t>
      </w:r>
      <w:r w:rsidRPr="00214404">
        <w:rPr>
          <w:rFonts w:cs="Calibri"/>
          <w:b/>
          <w:bCs/>
          <w:color w:val="000000"/>
          <w:szCs w:val="22"/>
        </w:rPr>
        <w:t>Neighborhood/Developer Sign Posting Requirements.</w:t>
      </w:r>
      <w:r w:rsidRPr="00214404">
        <w:rPr>
          <w:rFonts w:cs="Calibri"/>
          <w:b/>
          <w:color w:val="000000"/>
          <w:szCs w:val="22"/>
        </w:rPr>
        <w:t> The applicant must provide and post on the subject property, at least 14 calendar days before the meeting. The sign must conform to the design and placement standards established by the City for signs notifying the public of land use actions in TDC 32.150.</w:t>
      </w:r>
    </w:p>
    <w:p w14:paraId="6D0C591B" w14:textId="77777777" w:rsidR="00293A1C" w:rsidRPr="00214404" w:rsidRDefault="00293A1C" w:rsidP="00293A1C">
      <w:pPr>
        <w:overflowPunct/>
        <w:textAlignment w:val="auto"/>
        <w:rPr>
          <w:rFonts w:cs="Calibri"/>
          <w:b/>
          <w:color w:val="000000"/>
          <w:szCs w:val="22"/>
        </w:rPr>
      </w:pPr>
      <w:r w:rsidRPr="00214404">
        <w:rPr>
          <w:rFonts w:cs="Calibri"/>
          <w:b/>
          <w:color w:val="000000"/>
          <w:szCs w:val="22"/>
        </w:rPr>
        <w:t>(7) </w:t>
      </w:r>
      <w:r w:rsidRPr="00214404">
        <w:rPr>
          <w:rFonts w:cs="Calibri"/>
          <w:b/>
          <w:bCs/>
          <w:color w:val="000000"/>
          <w:szCs w:val="22"/>
        </w:rPr>
        <w:t>Neighborhood/Developer Meeting Requirements.</w:t>
      </w:r>
      <w:r w:rsidRPr="00214404">
        <w:rPr>
          <w:rFonts w:cs="Calibri"/>
          <w:b/>
          <w:color w:val="000000"/>
          <w:szCs w:val="22"/>
        </w:rPr>
        <w:t> The applicant must have a sign-in sheet for all attendees to provide their name, address, telephone number, and email address and keep a copy of the sign-in sheet to provide with their land use application. The applicant must prepare meeting notes identifying the persons attending, those commenting and the substance of the comments expressed, and the major points that were discussed. The applicant must keep a copy of the meeting notes for submittal with their land use application.</w:t>
      </w:r>
    </w:p>
    <w:p w14:paraId="46A7C97A" w14:textId="77777777" w:rsidR="00F3164B" w:rsidRPr="00214404" w:rsidRDefault="00F3164B" w:rsidP="00293A1C">
      <w:pPr>
        <w:overflowPunct/>
        <w:textAlignment w:val="auto"/>
        <w:rPr>
          <w:rFonts w:eastAsia="Calibri" w:cs="Calibri"/>
          <w:b/>
          <w:szCs w:val="22"/>
          <w:u w:val="single"/>
        </w:rPr>
      </w:pPr>
    </w:p>
    <w:p w14:paraId="18BBA0E1" w14:textId="0C738451" w:rsidR="00293A1C" w:rsidRPr="00214404" w:rsidRDefault="00293A1C" w:rsidP="00293A1C">
      <w:pPr>
        <w:overflowPunct/>
        <w:textAlignment w:val="auto"/>
        <w:rPr>
          <w:rFonts w:eastAsia="Calibri" w:cs="Calibri"/>
          <w:b/>
          <w:szCs w:val="22"/>
          <w:u w:val="single"/>
        </w:rPr>
      </w:pPr>
      <w:r w:rsidRPr="00214404">
        <w:rPr>
          <w:rFonts w:eastAsia="Calibri" w:cs="Calibri"/>
          <w:b/>
          <w:szCs w:val="22"/>
          <w:u w:val="single"/>
        </w:rPr>
        <w:t>Finding</w:t>
      </w:r>
      <w:r w:rsidRPr="00E15D45">
        <w:rPr>
          <w:rFonts w:eastAsia="Calibri" w:cs="Calibri"/>
          <w:b/>
          <w:szCs w:val="22"/>
        </w:rPr>
        <w:t>:</w:t>
      </w:r>
    </w:p>
    <w:p w14:paraId="71178957" w14:textId="03974240" w:rsidR="00293A1C" w:rsidRPr="00583045" w:rsidRDefault="00293A1C" w:rsidP="000E37BA">
      <w:pPr>
        <w:pStyle w:val="Staff"/>
        <w:rPr>
          <w:rFonts w:eastAsia="Calibri"/>
        </w:rPr>
      </w:pPr>
      <w:r w:rsidRPr="00583045">
        <w:rPr>
          <w:rFonts w:eastAsia="Calibri"/>
        </w:rPr>
        <w:t xml:space="preserve">The applicant has provided evidence that </w:t>
      </w:r>
      <w:r w:rsidR="00ED77B2">
        <w:rPr>
          <w:rFonts w:eastAsia="Calibri"/>
        </w:rPr>
        <w:t>a Neighborhood/Developer M</w:t>
      </w:r>
      <w:r w:rsidRPr="00583045">
        <w:rPr>
          <w:rFonts w:eastAsia="Calibri"/>
        </w:rPr>
        <w:t>eeting</w:t>
      </w:r>
      <w:r w:rsidR="00ED77B2">
        <w:rPr>
          <w:rFonts w:eastAsia="Calibri"/>
        </w:rPr>
        <w:t xml:space="preserve"> was held</w:t>
      </w:r>
      <w:r w:rsidRPr="00583045">
        <w:rPr>
          <w:rFonts w:eastAsia="Calibri"/>
        </w:rPr>
        <w:t xml:space="preserve"> on </w:t>
      </w:r>
      <w:r w:rsidR="00583045" w:rsidRPr="00583045">
        <w:rPr>
          <w:rFonts w:eastAsia="Calibri"/>
        </w:rPr>
        <w:t xml:space="preserve">October 24, 2023. </w:t>
      </w:r>
      <w:r w:rsidRPr="00583045">
        <w:rPr>
          <w:rFonts w:eastAsia="Calibri"/>
        </w:rPr>
        <w:t>The applicant has provided documentation of sign posting and notification in compliance with this section</w:t>
      </w:r>
      <w:r w:rsidR="00F3164B" w:rsidRPr="00583045">
        <w:rPr>
          <w:rFonts w:eastAsia="Calibri"/>
        </w:rPr>
        <w:t>, as well as a sign-in sheet and notes from the meeting</w:t>
      </w:r>
      <w:r w:rsidR="00583045" w:rsidRPr="00583045">
        <w:rPr>
          <w:rFonts w:eastAsia="Calibri"/>
        </w:rPr>
        <w:t xml:space="preserve"> </w:t>
      </w:r>
      <w:r w:rsidR="00583045" w:rsidRPr="008633E1">
        <w:rPr>
          <w:rFonts w:eastAsia="Calibri"/>
        </w:rPr>
        <w:t xml:space="preserve">in </w:t>
      </w:r>
      <w:r w:rsidR="009A0EC5" w:rsidRPr="008633E1">
        <w:rPr>
          <w:rFonts w:eastAsia="Calibri"/>
        </w:rPr>
        <w:t>Exhibit D</w:t>
      </w:r>
      <w:r w:rsidRPr="008633E1">
        <w:rPr>
          <w:rFonts w:eastAsia="Calibri"/>
        </w:rPr>
        <w:t>. The</w:t>
      </w:r>
      <w:r w:rsidRPr="00583045">
        <w:rPr>
          <w:rFonts w:eastAsia="Calibri"/>
        </w:rPr>
        <w:t>se standards are met.</w:t>
      </w:r>
    </w:p>
    <w:p w14:paraId="2EFCB1E3" w14:textId="77777777" w:rsidR="00293A1C" w:rsidRPr="00214404" w:rsidRDefault="00293A1C" w:rsidP="00293A1C">
      <w:pPr>
        <w:overflowPunct/>
        <w:spacing w:line="259" w:lineRule="auto"/>
        <w:textAlignment w:val="auto"/>
        <w:rPr>
          <w:rFonts w:eastAsia="Calibri"/>
          <w:szCs w:val="22"/>
          <w:u w:val="single"/>
        </w:rPr>
      </w:pPr>
      <w:r w:rsidRPr="00214404">
        <w:rPr>
          <w:rFonts w:eastAsia="Calibri"/>
          <w:b/>
          <w:szCs w:val="22"/>
          <w:u w:val="single"/>
        </w:rPr>
        <w:t>Section 32.130 – Initiation of Applications.</w:t>
      </w:r>
    </w:p>
    <w:p w14:paraId="2F411EDE" w14:textId="77777777" w:rsidR="00293A1C" w:rsidRPr="00214404" w:rsidRDefault="00293A1C" w:rsidP="00293A1C">
      <w:pPr>
        <w:overflowPunct/>
        <w:textAlignment w:val="auto"/>
        <w:rPr>
          <w:rFonts w:cs="Calibri"/>
          <w:b/>
          <w:color w:val="000000"/>
          <w:szCs w:val="22"/>
        </w:rPr>
      </w:pPr>
      <w:r w:rsidRPr="00214404">
        <w:rPr>
          <w:rFonts w:cs="Calibri"/>
          <w:b/>
          <w:color w:val="000000"/>
          <w:szCs w:val="22"/>
        </w:rPr>
        <w:t>(1)</w:t>
      </w:r>
      <w:r w:rsidRPr="00214404">
        <w:rPr>
          <w:rFonts w:cs="Calibri"/>
          <w:color w:val="000000"/>
          <w:szCs w:val="22"/>
        </w:rPr>
        <w:t> </w:t>
      </w:r>
      <w:r w:rsidRPr="00214404">
        <w:rPr>
          <w:rFonts w:cs="Calibri"/>
          <w:b/>
          <w:bCs/>
          <w:color w:val="000000"/>
          <w:szCs w:val="22"/>
        </w:rPr>
        <w:t>Type I, Type II, Type III, and Type IV-</w:t>
      </w:r>
      <w:proofErr w:type="gramStart"/>
      <w:r w:rsidRPr="00214404">
        <w:rPr>
          <w:rFonts w:cs="Calibri"/>
          <w:b/>
          <w:bCs/>
          <w:color w:val="000000"/>
          <w:szCs w:val="22"/>
        </w:rPr>
        <w:t>A</w:t>
      </w:r>
      <w:proofErr w:type="gramEnd"/>
      <w:r w:rsidRPr="00214404">
        <w:rPr>
          <w:rFonts w:cs="Calibri"/>
          <w:b/>
          <w:bCs/>
          <w:color w:val="000000"/>
          <w:szCs w:val="22"/>
        </w:rPr>
        <w:t xml:space="preserve"> Applications.</w:t>
      </w:r>
      <w:r w:rsidRPr="00214404">
        <w:rPr>
          <w:rFonts w:cs="Calibri"/>
          <w:color w:val="000000"/>
          <w:szCs w:val="22"/>
        </w:rPr>
        <w:t> </w:t>
      </w:r>
      <w:r w:rsidRPr="00214404">
        <w:rPr>
          <w:rFonts w:cs="Calibri"/>
          <w:b/>
          <w:color w:val="000000"/>
          <w:szCs w:val="22"/>
        </w:rPr>
        <w:t>Type I, Type II, Type III, and Type IV-</w:t>
      </w:r>
      <w:proofErr w:type="gramStart"/>
      <w:r w:rsidRPr="00214404">
        <w:rPr>
          <w:rFonts w:cs="Calibri"/>
          <w:b/>
          <w:color w:val="000000"/>
          <w:szCs w:val="22"/>
        </w:rPr>
        <w:t>A</w:t>
      </w:r>
      <w:proofErr w:type="gramEnd"/>
      <w:r w:rsidRPr="00214404">
        <w:rPr>
          <w:rFonts w:cs="Calibri"/>
          <w:b/>
          <w:color w:val="000000"/>
          <w:szCs w:val="22"/>
        </w:rPr>
        <w:t xml:space="preserve"> applications may be submitted by one or more of the following persons:</w:t>
      </w:r>
    </w:p>
    <w:p w14:paraId="7049F679" w14:textId="77777777" w:rsidR="00293A1C" w:rsidRPr="00214404" w:rsidRDefault="00293A1C" w:rsidP="00293A1C">
      <w:pPr>
        <w:overflowPunct/>
        <w:ind w:left="360"/>
        <w:textAlignment w:val="auto"/>
        <w:rPr>
          <w:rFonts w:cs="Calibri"/>
          <w:b/>
          <w:color w:val="000000"/>
          <w:szCs w:val="22"/>
        </w:rPr>
      </w:pPr>
      <w:r w:rsidRPr="00214404">
        <w:rPr>
          <w:rFonts w:cs="Calibri"/>
          <w:b/>
          <w:color w:val="000000"/>
          <w:szCs w:val="22"/>
        </w:rPr>
        <w:t>(a) The owner of the subject property;</w:t>
      </w:r>
    </w:p>
    <w:p w14:paraId="60817944" w14:textId="77777777" w:rsidR="00293A1C" w:rsidRPr="00214404" w:rsidRDefault="00293A1C" w:rsidP="00293A1C">
      <w:pPr>
        <w:overflowPunct/>
        <w:ind w:left="360"/>
        <w:textAlignment w:val="auto"/>
        <w:rPr>
          <w:rFonts w:cs="Calibri"/>
          <w:b/>
          <w:color w:val="000000"/>
          <w:szCs w:val="22"/>
        </w:rPr>
      </w:pPr>
      <w:r w:rsidRPr="00214404">
        <w:rPr>
          <w:rFonts w:cs="Calibri"/>
          <w:b/>
          <w:color w:val="000000"/>
          <w:szCs w:val="22"/>
        </w:rPr>
        <w:t>(b) The contract purchaser of the subject property, when the application is accompanied by proof of the purchaser’s status as such and by the seller’s written consent;</w:t>
      </w:r>
    </w:p>
    <w:p w14:paraId="6216028A" w14:textId="77777777" w:rsidR="00293A1C" w:rsidRPr="00214404" w:rsidRDefault="00293A1C" w:rsidP="00293A1C">
      <w:pPr>
        <w:overflowPunct/>
        <w:ind w:left="360"/>
        <w:textAlignment w:val="auto"/>
        <w:rPr>
          <w:rFonts w:cs="Calibri"/>
          <w:b/>
          <w:color w:val="000000"/>
          <w:szCs w:val="22"/>
        </w:rPr>
      </w:pPr>
      <w:r w:rsidRPr="00214404">
        <w:rPr>
          <w:rFonts w:cs="Calibri"/>
          <w:b/>
          <w:color w:val="000000"/>
          <w:szCs w:val="22"/>
        </w:rPr>
        <w:t>(c) A lessee in possession of the property, when the application is accompanied by the owners’ written consent; or</w:t>
      </w:r>
    </w:p>
    <w:p w14:paraId="016C4400" w14:textId="77777777" w:rsidR="00293A1C" w:rsidRPr="00214404" w:rsidRDefault="00293A1C" w:rsidP="00293A1C">
      <w:pPr>
        <w:overflowPunct/>
        <w:ind w:left="360"/>
        <w:textAlignment w:val="auto"/>
        <w:rPr>
          <w:rFonts w:cs="Calibri"/>
          <w:b/>
          <w:color w:val="000000"/>
          <w:szCs w:val="22"/>
        </w:rPr>
      </w:pPr>
      <w:r w:rsidRPr="00214404">
        <w:rPr>
          <w:rFonts w:cs="Calibri"/>
          <w:b/>
          <w:color w:val="000000"/>
          <w:szCs w:val="22"/>
        </w:rPr>
        <w:t>(d) The agent of any of the foregoing, when the application is duly authorized in writing by a person authorized to submit an application by paragraphs (a), (b) or (c) of this subsection, and accompanied by proof of the agent’s authority.</w:t>
      </w:r>
    </w:p>
    <w:p w14:paraId="31795BA3" w14:textId="77777777" w:rsidR="00293A1C" w:rsidRPr="00214404" w:rsidRDefault="00293A1C" w:rsidP="00293A1C">
      <w:pPr>
        <w:overflowPunct/>
        <w:textAlignment w:val="auto"/>
        <w:rPr>
          <w:rFonts w:cs="Calibri"/>
          <w:b/>
          <w:color w:val="000000"/>
          <w:szCs w:val="22"/>
        </w:rPr>
      </w:pPr>
      <w:r w:rsidRPr="00214404">
        <w:rPr>
          <w:rFonts w:cs="Calibri"/>
          <w:b/>
          <w:color w:val="000000"/>
          <w:szCs w:val="22"/>
        </w:rPr>
        <w:t>[…]</w:t>
      </w:r>
    </w:p>
    <w:p w14:paraId="17BD596E" w14:textId="77777777" w:rsidR="00293A1C" w:rsidRPr="00214404" w:rsidRDefault="00293A1C" w:rsidP="00293A1C">
      <w:pPr>
        <w:overflowPunct/>
        <w:textAlignment w:val="auto"/>
        <w:rPr>
          <w:rFonts w:cs="Calibri"/>
          <w:b/>
          <w:color w:val="000000"/>
          <w:szCs w:val="22"/>
        </w:rPr>
      </w:pPr>
    </w:p>
    <w:p w14:paraId="561C8E70" w14:textId="77777777" w:rsidR="00293A1C" w:rsidRPr="00214404" w:rsidRDefault="00293A1C" w:rsidP="00293A1C">
      <w:pPr>
        <w:overflowPunct/>
        <w:textAlignment w:val="auto"/>
        <w:rPr>
          <w:rFonts w:eastAsia="Calibri" w:cs="Calibri"/>
          <w:b/>
          <w:szCs w:val="22"/>
          <w:u w:val="single"/>
        </w:rPr>
      </w:pPr>
      <w:r w:rsidRPr="00214404">
        <w:rPr>
          <w:rFonts w:eastAsia="Calibri" w:cs="Calibri"/>
          <w:b/>
          <w:szCs w:val="22"/>
          <w:u w:val="single"/>
        </w:rPr>
        <w:t>Finding</w:t>
      </w:r>
      <w:r w:rsidRPr="00E15D45">
        <w:rPr>
          <w:rFonts w:eastAsia="Calibri" w:cs="Calibri"/>
          <w:b/>
          <w:szCs w:val="22"/>
        </w:rPr>
        <w:t>:</w:t>
      </w:r>
    </w:p>
    <w:p w14:paraId="20914D19" w14:textId="4B2265B2" w:rsidR="00293A1C" w:rsidRPr="00214404" w:rsidRDefault="00293A1C" w:rsidP="000E37BA">
      <w:pPr>
        <w:pStyle w:val="Staff"/>
        <w:rPr>
          <w:rFonts w:eastAsia="Calibri"/>
          <w:b/>
        </w:rPr>
      </w:pPr>
      <w:r w:rsidRPr="00DF5794">
        <w:rPr>
          <w:rFonts w:eastAsia="Calibri"/>
        </w:rPr>
        <w:t>The application has been signed by an agent of</w:t>
      </w:r>
      <w:r w:rsidR="00DF5794" w:rsidRPr="00DF5794">
        <w:rPr>
          <w:rFonts w:eastAsia="Calibri"/>
        </w:rPr>
        <w:t xml:space="preserve"> Nyberg </w:t>
      </w:r>
      <w:proofErr w:type="spellStart"/>
      <w:r w:rsidR="00DF5794" w:rsidRPr="00DF5794">
        <w:rPr>
          <w:rFonts w:eastAsia="Calibri"/>
        </w:rPr>
        <w:t>CenterCal</w:t>
      </w:r>
      <w:proofErr w:type="spellEnd"/>
      <w:r w:rsidR="00DF5794" w:rsidRPr="00DF5794">
        <w:rPr>
          <w:rFonts w:eastAsia="Calibri"/>
        </w:rPr>
        <w:t xml:space="preserve"> </w:t>
      </w:r>
      <w:r w:rsidR="00DF5794" w:rsidRPr="00DF5794">
        <w:rPr>
          <w:rFonts w:eastAsia="Calibri" w:cstheme="minorHAnsi"/>
        </w:rPr>
        <w:t>ꓲꓲ</w:t>
      </w:r>
      <w:r w:rsidR="00DF5794" w:rsidRPr="00DF5794">
        <w:rPr>
          <w:rFonts w:eastAsia="Calibri"/>
        </w:rPr>
        <w:t>, LLC</w:t>
      </w:r>
      <w:r w:rsidR="00F3164B" w:rsidRPr="00DF5794">
        <w:rPr>
          <w:rFonts w:eastAsia="Calibri"/>
        </w:rPr>
        <w:t xml:space="preserve">, who serves as the property owner’s </w:t>
      </w:r>
      <w:r w:rsidR="00125374" w:rsidRPr="00DF5794">
        <w:rPr>
          <w:rFonts w:eastAsia="Calibri"/>
        </w:rPr>
        <w:t xml:space="preserve">legal </w:t>
      </w:r>
      <w:r w:rsidR="00F3164B" w:rsidRPr="00DF5794">
        <w:rPr>
          <w:rFonts w:eastAsia="Calibri"/>
        </w:rPr>
        <w:t>representative</w:t>
      </w:r>
      <w:r w:rsidRPr="00DF5794">
        <w:rPr>
          <w:rFonts w:eastAsia="Calibri"/>
        </w:rPr>
        <w:t>. This standard is met.</w:t>
      </w:r>
    </w:p>
    <w:p w14:paraId="0147712E" w14:textId="77777777" w:rsidR="00293A1C" w:rsidRPr="00214404" w:rsidRDefault="00293A1C" w:rsidP="00293A1C">
      <w:pPr>
        <w:overflowPunct/>
        <w:spacing w:line="259" w:lineRule="auto"/>
        <w:textAlignment w:val="auto"/>
        <w:rPr>
          <w:rStyle w:val="Strong"/>
          <w:rFonts w:eastAsia="Calibri"/>
          <w:u w:val="single"/>
        </w:rPr>
      </w:pPr>
      <w:r w:rsidRPr="00214404">
        <w:rPr>
          <w:rStyle w:val="Strong"/>
          <w:rFonts w:eastAsia="Calibri"/>
          <w:u w:val="single"/>
        </w:rPr>
        <w:t>Section 32.140 – Application Submittal.</w:t>
      </w:r>
    </w:p>
    <w:p w14:paraId="2CCDB4EC" w14:textId="77777777" w:rsidR="00293A1C" w:rsidRPr="00214404" w:rsidRDefault="00293A1C" w:rsidP="00293A1C">
      <w:pPr>
        <w:overflowPunct/>
        <w:textAlignment w:val="auto"/>
        <w:rPr>
          <w:rStyle w:val="Strong"/>
        </w:rPr>
      </w:pPr>
      <w:r w:rsidRPr="00214404">
        <w:rPr>
          <w:rStyle w:val="Strong"/>
        </w:rPr>
        <w:t>(1) Submittal Requirements. Land use applications must be submitted on forms provided by the City. A land use application may not be accepted in partial submittals. All information supplied on the application form and accompanying the application must be complete and correct as to the applicable facts. Unless otherwise specified, all of the following must be submitted to initiate completeness review under TDC 32.160:</w:t>
      </w:r>
    </w:p>
    <w:p w14:paraId="6AA298F3" w14:textId="77777777" w:rsidR="00293A1C" w:rsidRPr="00214404" w:rsidRDefault="00293A1C" w:rsidP="00293A1C">
      <w:pPr>
        <w:overflowPunct/>
        <w:ind w:left="360"/>
        <w:textAlignment w:val="auto"/>
        <w:rPr>
          <w:rStyle w:val="Strong"/>
        </w:rPr>
      </w:pPr>
      <w:r w:rsidRPr="00214404">
        <w:rPr>
          <w:rStyle w:val="Strong"/>
        </w:rPr>
        <w:t>(a) A completed application form. The application form must contain, at a minimum, the following information:</w:t>
      </w:r>
    </w:p>
    <w:p w14:paraId="7AD29819" w14:textId="77777777" w:rsidR="00293A1C" w:rsidRPr="00214404" w:rsidRDefault="00293A1C" w:rsidP="00293A1C">
      <w:pPr>
        <w:overflowPunct/>
        <w:ind w:left="720"/>
        <w:textAlignment w:val="auto"/>
        <w:rPr>
          <w:rStyle w:val="Strong"/>
        </w:rPr>
      </w:pPr>
      <w:r w:rsidRPr="00214404">
        <w:rPr>
          <w:rStyle w:val="Strong"/>
        </w:rPr>
        <w:lastRenderedPageBreak/>
        <w:t>(</w:t>
      </w:r>
      <w:proofErr w:type="spellStart"/>
      <w:r w:rsidRPr="00214404">
        <w:rPr>
          <w:rStyle w:val="Strong"/>
        </w:rPr>
        <w:t>i</w:t>
      </w:r>
      <w:proofErr w:type="spellEnd"/>
      <w:r w:rsidRPr="00214404">
        <w:rPr>
          <w:rStyle w:val="Strong"/>
        </w:rPr>
        <w:t>) The names and addresses of the applicant(s), the owner(s) of the subject property, and any authorized representative(s) thereof;</w:t>
      </w:r>
    </w:p>
    <w:p w14:paraId="7C21FC4D" w14:textId="77777777" w:rsidR="00293A1C" w:rsidRPr="00214404" w:rsidRDefault="00293A1C" w:rsidP="00293A1C">
      <w:pPr>
        <w:overflowPunct/>
        <w:ind w:left="720"/>
        <w:textAlignment w:val="auto"/>
        <w:rPr>
          <w:rStyle w:val="Strong"/>
        </w:rPr>
      </w:pPr>
      <w:r w:rsidRPr="00214404">
        <w:rPr>
          <w:rStyle w:val="Strong"/>
        </w:rPr>
        <w:t>(ii) The address or location of the subject property and its assessor’s map and tax lot number;</w:t>
      </w:r>
    </w:p>
    <w:p w14:paraId="3ED914AD" w14:textId="77777777" w:rsidR="00293A1C" w:rsidRPr="00214404" w:rsidRDefault="00293A1C" w:rsidP="00293A1C">
      <w:pPr>
        <w:overflowPunct/>
        <w:ind w:left="720"/>
        <w:textAlignment w:val="auto"/>
        <w:rPr>
          <w:rStyle w:val="Strong"/>
        </w:rPr>
      </w:pPr>
      <w:r w:rsidRPr="00214404">
        <w:rPr>
          <w:rStyle w:val="Strong"/>
        </w:rPr>
        <w:t>(iii) The size of the subject property;</w:t>
      </w:r>
    </w:p>
    <w:p w14:paraId="28FB10AF" w14:textId="77777777" w:rsidR="00293A1C" w:rsidRPr="00214404" w:rsidRDefault="00293A1C" w:rsidP="00293A1C">
      <w:pPr>
        <w:overflowPunct/>
        <w:ind w:left="720"/>
        <w:textAlignment w:val="auto"/>
        <w:rPr>
          <w:rStyle w:val="Strong"/>
        </w:rPr>
      </w:pPr>
      <w:proofErr w:type="gramStart"/>
      <w:r w:rsidRPr="00214404">
        <w:rPr>
          <w:rStyle w:val="Strong"/>
        </w:rPr>
        <w:t>(iv) The</w:t>
      </w:r>
      <w:proofErr w:type="gramEnd"/>
      <w:r w:rsidRPr="00214404">
        <w:rPr>
          <w:rStyle w:val="Strong"/>
        </w:rPr>
        <w:t xml:space="preserve"> comprehensive plan designation and zoning of the subject property;</w:t>
      </w:r>
    </w:p>
    <w:p w14:paraId="42BBC943" w14:textId="77777777" w:rsidR="00293A1C" w:rsidRPr="00214404" w:rsidRDefault="00293A1C" w:rsidP="00293A1C">
      <w:pPr>
        <w:overflowPunct/>
        <w:ind w:left="720"/>
        <w:textAlignment w:val="auto"/>
        <w:rPr>
          <w:rStyle w:val="Strong"/>
        </w:rPr>
      </w:pPr>
      <w:r w:rsidRPr="00214404">
        <w:rPr>
          <w:rStyle w:val="Strong"/>
        </w:rPr>
        <w:t>(v) The type of application(s);</w:t>
      </w:r>
    </w:p>
    <w:p w14:paraId="3924F851" w14:textId="77777777" w:rsidR="00293A1C" w:rsidRPr="00214404" w:rsidRDefault="00293A1C" w:rsidP="00293A1C">
      <w:pPr>
        <w:overflowPunct/>
        <w:ind w:left="720"/>
        <w:textAlignment w:val="auto"/>
        <w:rPr>
          <w:rStyle w:val="Strong"/>
        </w:rPr>
      </w:pPr>
      <w:proofErr w:type="gramStart"/>
      <w:r w:rsidRPr="00214404">
        <w:rPr>
          <w:rStyle w:val="Strong"/>
        </w:rPr>
        <w:t>(vi) A</w:t>
      </w:r>
      <w:proofErr w:type="gramEnd"/>
      <w:r w:rsidRPr="00214404">
        <w:rPr>
          <w:rStyle w:val="Strong"/>
        </w:rPr>
        <w:t xml:space="preserve"> brief description of the proposal; and</w:t>
      </w:r>
    </w:p>
    <w:p w14:paraId="5A570142" w14:textId="77777777" w:rsidR="00293A1C" w:rsidRPr="00214404" w:rsidRDefault="00293A1C" w:rsidP="00293A1C">
      <w:pPr>
        <w:overflowPunct/>
        <w:ind w:left="720"/>
        <w:textAlignment w:val="auto"/>
        <w:rPr>
          <w:rStyle w:val="Strong"/>
        </w:rPr>
      </w:pPr>
      <w:r w:rsidRPr="00214404">
        <w:rPr>
          <w:rStyle w:val="Strong"/>
        </w:rPr>
        <w:t>(vii) Signatures of the applicant(s), owner(s) of the subject property, and/or the duly authorized representative(s) thereof authorizing the filing of the application(s).</w:t>
      </w:r>
    </w:p>
    <w:p w14:paraId="56D825E7" w14:textId="77777777" w:rsidR="00293A1C" w:rsidRPr="00214404" w:rsidRDefault="00293A1C" w:rsidP="00293A1C">
      <w:pPr>
        <w:overflowPunct/>
        <w:ind w:left="360"/>
        <w:textAlignment w:val="auto"/>
        <w:rPr>
          <w:rStyle w:val="Strong"/>
        </w:rPr>
      </w:pPr>
      <w:r w:rsidRPr="00214404">
        <w:rPr>
          <w:rStyle w:val="Strong"/>
        </w:rPr>
        <w:t>(b) A written statement addressing each applicable approval criterion and standard;</w:t>
      </w:r>
    </w:p>
    <w:p w14:paraId="3D330275" w14:textId="77777777" w:rsidR="00293A1C" w:rsidRPr="00214404" w:rsidRDefault="00293A1C" w:rsidP="00293A1C">
      <w:pPr>
        <w:overflowPunct/>
        <w:ind w:left="360"/>
        <w:textAlignment w:val="auto"/>
        <w:rPr>
          <w:rStyle w:val="Strong"/>
        </w:rPr>
      </w:pPr>
      <w:r w:rsidRPr="00214404">
        <w:rPr>
          <w:rStyle w:val="Strong"/>
        </w:rPr>
        <w:t>(c) Any additional information required under the TDC for the specific land use action sought;</w:t>
      </w:r>
    </w:p>
    <w:p w14:paraId="68F21FCA" w14:textId="77777777" w:rsidR="00293A1C" w:rsidRPr="00214404" w:rsidRDefault="00293A1C" w:rsidP="00293A1C">
      <w:pPr>
        <w:overflowPunct/>
        <w:ind w:left="360"/>
        <w:textAlignment w:val="auto"/>
        <w:rPr>
          <w:rStyle w:val="Strong"/>
        </w:rPr>
      </w:pPr>
      <w:r w:rsidRPr="00214404">
        <w:rPr>
          <w:rStyle w:val="Strong"/>
        </w:rPr>
        <w:t>(d) Payment of the applicable application fee(s) pursuant to the most recently adopted fee schedule;</w:t>
      </w:r>
    </w:p>
    <w:p w14:paraId="2BBA67B1" w14:textId="77777777" w:rsidR="00293A1C" w:rsidRPr="00214404" w:rsidRDefault="00293A1C" w:rsidP="00293A1C">
      <w:pPr>
        <w:overflowPunct/>
        <w:ind w:left="360"/>
        <w:textAlignment w:val="auto"/>
        <w:rPr>
          <w:rStyle w:val="Strong"/>
        </w:rPr>
      </w:pPr>
      <w:r w:rsidRPr="00214404">
        <w:rPr>
          <w:rStyle w:val="Strong"/>
        </w:rPr>
        <w:t>(e) Recorded deed/land sales contract with legal description.</w:t>
      </w:r>
    </w:p>
    <w:p w14:paraId="2928CCF1" w14:textId="77777777" w:rsidR="00293A1C" w:rsidRPr="00214404" w:rsidRDefault="00293A1C" w:rsidP="00293A1C">
      <w:pPr>
        <w:overflowPunct/>
        <w:ind w:left="360"/>
        <w:textAlignment w:val="auto"/>
        <w:rPr>
          <w:rStyle w:val="Strong"/>
        </w:rPr>
      </w:pPr>
      <w:r w:rsidRPr="00214404">
        <w:rPr>
          <w:rStyle w:val="Strong"/>
        </w:rPr>
        <w:t>(f) A preliminary title report or other proof of ownership.</w:t>
      </w:r>
    </w:p>
    <w:p w14:paraId="1D4AF2A6" w14:textId="77777777" w:rsidR="00293A1C" w:rsidRPr="00214404" w:rsidRDefault="00293A1C" w:rsidP="00293A1C">
      <w:pPr>
        <w:overflowPunct/>
        <w:ind w:left="360"/>
        <w:textAlignment w:val="auto"/>
        <w:rPr>
          <w:rStyle w:val="Strong"/>
        </w:rPr>
      </w:pPr>
      <w:r w:rsidRPr="00214404">
        <w:rPr>
          <w:rStyle w:val="Strong"/>
        </w:rPr>
        <w:t>(g) For those applications requiring a neighborhood/developer meeting:</w:t>
      </w:r>
    </w:p>
    <w:p w14:paraId="5F4B8D84" w14:textId="187B9ADF" w:rsidR="00293A1C" w:rsidRPr="00214404" w:rsidRDefault="00293A1C" w:rsidP="00256F77">
      <w:pPr>
        <w:overflowPunct/>
        <w:ind w:left="630"/>
        <w:textAlignment w:val="auto"/>
        <w:rPr>
          <w:rStyle w:val="Strong"/>
        </w:rPr>
      </w:pPr>
      <w:r w:rsidRPr="00214404">
        <w:rPr>
          <w:rStyle w:val="Strong"/>
        </w:rPr>
        <w:t>(</w:t>
      </w:r>
      <w:proofErr w:type="spellStart"/>
      <w:r w:rsidRPr="00214404">
        <w:rPr>
          <w:rStyle w:val="Strong"/>
        </w:rPr>
        <w:t>i</w:t>
      </w:r>
      <w:proofErr w:type="spellEnd"/>
      <w:r w:rsidRPr="00214404">
        <w:rPr>
          <w:rStyle w:val="Strong"/>
        </w:rPr>
        <w:t>) The mailing list for the notice;</w:t>
      </w:r>
    </w:p>
    <w:p w14:paraId="7080D82B" w14:textId="379C70F3" w:rsidR="00293A1C" w:rsidRPr="00214404" w:rsidRDefault="00293A1C" w:rsidP="00256F77">
      <w:pPr>
        <w:overflowPunct/>
        <w:ind w:left="630"/>
        <w:textAlignment w:val="auto"/>
        <w:rPr>
          <w:rStyle w:val="Strong"/>
        </w:rPr>
      </w:pPr>
      <w:r w:rsidRPr="00214404">
        <w:rPr>
          <w:rStyle w:val="Strong"/>
        </w:rPr>
        <w:t>(ii) A copy of the notice;</w:t>
      </w:r>
    </w:p>
    <w:p w14:paraId="19F1D3F2" w14:textId="7F3E69A9" w:rsidR="00293A1C" w:rsidRPr="00214404" w:rsidRDefault="00293A1C" w:rsidP="00256F77">
      <w:pPr>
        <w:overflowPunct/>
        <w:ind w:left="630"/>
        <w:textAlignment w:val="auto"/>
        <w:rPr>
          <w:rStyle w:val="Strong"/>
        </w:rPr>
      </w:pPr>
      <w:r w:rsidRPr="00214404">
        <w:rPr>
          <w:rStyle w:val="Strong"/>
        </w:rPr>
        <w:t>(iii) An affidavit of the mailing and posting;</w:t>
      </w:r>
    </w:p>
    <w:p w14:paraId="6D5CBB29" w14:textId="57AED21E" w:rsidR="00293A1C" w:rsidRPr="00214404" w:rsidRDefault="00293A1C" w:rsidP="00256F77">
      <w:pPr>
        <w:overflowPunct/>
        <w:ind w:left="630"/>
        <w:textAlignment w:val="auto"/>
        <w:rPr>
          <w:rStyle w:val="Strong"/>
        </w:rPr>
      </w:pPr>
      <w:proofErr w:type="gramStart"/>
      <w:r w:rsidRPr="00214404">
        <w:rPr>
          <w:rStyle w:val="Strong"/>
        </w:rPr>
        <w:t>(iv) The</w:t>
      </w:r>
      <w:proofErr w:type="gramEnd"/>
      <w:r w:rsidRPr="00214404">
        <w:rPr>
          <w:rStyle w:val="Strong"/>
        </w:rPr>
        <w:t xml:space="preserve"> original sign-in sheet of participants; and</w:t>
      </w:r>
    </w:p>
    <w:p w14:paraId="19850257" w14:textId="77777777" w:rsidR="00293A1C" w:rsidRPr="00214404" w:rsidRDefault="00293A1C" w:rsidP="00293A1C">
      <w:pPr>
        <w:overflowPunct/>
        <w:ind w:left="630"/>
        <w:textAlignment w:val="auto"/>
        <w:rPr>
          <w:rStyle w:val="Strong"/>
        </w:rPr>
      </w:pPr>
      <w:r w:rsidRPr="00214404">
        <w:rPr>
          <w:rStyle w:val="Strong"/>
        </w:rPr>
        <w:t>(v) The meeting notes described in TDC 32.120(7).</w:t>
      </w:r>
    </w:p>
    <w:p w14:paraId="1EB7938E" w14:textId="77777777" w:rsidR="00293A1C" w:rsidRPr="00214404" w:rsidRDefault="00293A1C" w:rsidP="00293A1C">
      <w:pPr>
        <w:overflowPunct/>
        <w:ind w:left="360"/>
        <w:textAlignment w:val="auto"/>
        <w:rPr>
          <w:rStyle w:val="Strong"/>
        </w:rPr>
      </w:pPr>
      <w:r w:rsidRPr="00214404">
        <w:rPr>
          <w:rStyle w:val="Strong"/>
        </w:rPr>
        <w:t>(h) A statement as to whether any City-recognized Citizen Involvement Organizations (CIOs) whose boundaries include, or are adjacent to, the subject property were contacted in advance of filing the application and, if so, a summary of the contact. The summary must include the date when contact was made, the form of the contact and who it was with (e.g. phone conversation with neighborhood association chairperson, meeting with land use committee, presentation at neighborhood association meeting), and the result;</w:t>
      </w:r>
    </w:p>
    <w:p w14:paraId="03A48129" w14:textId="77777777" w:rsidR="00293A1C" w:rsidRPr="00214404" w:rsidRDefault="00293A1C" w:rsidP="00293A1C">
      <w:pPr>
        <w:overflowPunct/>
        <w:ind w:left="360"/>
        <w:textAlignment w:val="auto"/>
        <w:rPr>
          <w:rStyle w:val="Strong"/>
        </w:rPr>
      </w:pPr>
      <w:r w:rsidRPr="00214404">
        <w:rPr>
          <w:rStyle w:val="Strong"/>
        </w:rPr>
        <w:t>(</w:t>
      </w:r>
      <w:proofErr w:type="spellStart"/>
      <w:r w:rsidRPr="00214404">
        <w:rPr>
          <w:rStyle w:val="Strong"/>
        </w:rPr>
        <w:t>i</w:t>
      </w:r>
      <w:proofErr w:type="spellEnd"/>
      <w:r w:rsidRPr="00214404">
        <w:rPr>
          <w:rStyle w:val="Strong"/>
        </w:rPr>
        <w:t>) Any additional information, as determined by the City Manager, that may be required by another provision, or for any other permit elsewhere, in the TDC, and any other information that may be required to adequately review and analyze the proposed development plan as to its conformance to the applicable criteria;</w:t>
      </w:r>
    </w:p>
    <w:p w14:paraId="58FBBBD0" w14:textId="77777777" w:rsidR="00293A1C" w:rsidRPr="00214404" w:rsidRDefault="00293A1C" w:rsidP="00293A1C">
      <w:pPr>
        <w:overflowPunct/>
        <w:textAlignment w:val="auto"/>
        <w:rPr>
          <w:rStyle w:val="Strong"/>
        </w:rPr>
      </w:pPr>
      <w:r w:rsidRPr="00214404">
        <w:rPr>
          <w:rStyle w:val="Strong"/>
        </w:rPr>
        <w:t>(2) Application Intake. Each application, when received, must be date-stamped with the date the application was received by the City, and designated with a receipt number and a notation of the staff person who received the application.</w:t>
      </w:r>
    </w:p>
    <w:p w14:paraId="4C610410" w14:textId="77777777" w:rsidR="00293A1C" w:rsidRPr="00214404" w:rsidRDefault="00293A1C" w:rsidP="00293A1C">
      <w:pPr>
        <w:overflowPunct/>
        <w:textAlignment w:val="auto"/>
        <w:rPr>
          <w:rStyle w:val="Strong"/>
        </w:rPr>
      </w:pPr>
      <w:r w:rsidRPr="00214404">
        <w:rPr>
          <w:rStyle w:val="Strong"/>
        </w:rPr>
        <w:t>(3) Administrative Standards for Applications. The City Manager is authorized to establish administrative standards for application forms and submittals, including but not limited to plan details, information detail and specificity, number of copies, scale, and the form of submittal. </w:t>
      </w:r>
    </w:p>
    <w:p w14:paraId="40E5AA10" w14:textId="77777777" w:rsidR="00293A1C" w:rsidRPr="00214404" w:rsidRDefault="00293A1C" w:rsidP="00293A1C">
      <w:pPr>
        <w:overflowPunct/>
        <w:textAlignment w:val="auto"/>
        <w:rPr>
          <w:rFonts w:cs="Calibri"/>
          <w:color w:val="000000"/>
          <w:szCs w:val="22"/>
        </w:rPr>
      </w:pPr>
    </w:p>
    <w:p w14:paraId="45B9EFE5" w14:textId="77777777" w:rsidR="00293A1C" w:rsidRPr="00214404" w:rsidRDefault="00293A1C" w:rsidP="00293A1C">
      <w:pPr>
        <w:overflowPunct/>
        <w:textAlignment w:val="auto"/>
        <w:rPr>
          <w:rFonts w:eastAsia="Calibri" w:cs="Calibri"/>
          <w:b/>
          <w:szCs w:val="22"/>
          <w:u w:val="single"/>
        </w:rPr>
      </w:pPr>
      <w:r w:rsidRPr="00214404">
        <w:rPr>
          <w:rFonts w:eastAsia="Calibri" w:cs="Calibri"/>
          <w:b/>
          <w:szCs w:val="22"/>
          <w:u w:val="single"/>
        </w:rPr>
        <w:t>Finding</w:t>
      </w:r>
      <w:r w:rsidRPr="00E15D45">
        <w:rPr>
          <w:rFonts w:eastAsia="Calibri" w:cs="Calibri"/>
          <w:b/>
          <w:szCs w:val="22"/>
        </w:rPr>
        <w:t>:</w:t>
      </w:r>
    </w:p>
    <w:p w14:paraId="0934F3FE" w14:textId="52035449" w:rsidR="00293A1C" w:rsidRPr="00214404" w:rsidRDefault="00293A1C" w:rsidP="000E37BA">
      <w:pPr>
        <w:pStyle w:val="Staff"/>
        <w:rPr>
          <w:rFonts w:eastAsia="Calibri"/>
        </w:rPr>
      </w:pPr>
      <w:r w:rsidRPr="00583045">
        <w:rPr>
          <w:rFonts w:eastAsia="Calibri"/>
        </w:rPr>
        <w:t>The applicant su</w:t>
      </w:r>
      <w:r w:rsidR="00B86A10" w:rsidRPr="00583045">
        <w:rPr>
          <w:rFonts w:eastAsia="Calibri"/>
        </w:rPr>
        <w:t xml:space="preserve">bmitted an application for </w:t>
      </w:r>
      <w:r w:rsidR="00583045" w:rsidRPr="00583045">
        <w:rPr>
          <w:rFonts w:eastAsia="Calibri"/>
        </w:rPr>
        <w:t>SVAR 24</w:t>
      </w:r>
      <w:r w:rsidRPr="00583045">
        <w:rPr>
          <w:rFonts w:eastAsia="Calibri"/>
        </w:rPr>
        <w:t>-000</w:t>
      </w:r>
      <w:r w:rsidR="00583045" w:rsidRPr="00583045">
        <w:rPr>
          <w:rFonts w:eastAsia="Calibri"/>
        </w:rPr>
        <w:t>1</w:t>
      </w:r>
      <w:r w:rsidRPr="00583045">
        <w:rPr>
          <w:rFonts w:eastAsia="Calibri"/>
        </w:rPr>
        <w:t xml:space="preserve"> on </w:t>
      </w:r>
      <w:r w:rsidR="00583045" w:rsidRPr="00583045">
        <w:rPr>
          <w:rFonts w:eastAsia="Calibri"/>
        </w:rPr>
        <w:t>August 28, 2024</w:t>
      </w:r>
      <w:r w:rsidR="00B86A10" w:rsidRPr="00583045">
        <w:rPr>
          <w:rFonts w:eastAsia="Calibri"/>
        </w:rPr>
        <w:t>. The</w:t>
      </w:r>
      <w:r w:rsidRPr="00583045">
        <w:rPr>
          <w:rFonts w:eastAsia="Calibri"/>
        </w:rPr>
        <w:t xml:space="preserve"> application was deemed complete on </w:t>
      </w:r>
      <w:r w:rsidR="00125374" w:rsidRPr="00583045">
        <w:rPr>
          <w:rFonts w:eastAsia="Calibri"/>
        </w:rPr>
        <w:t xml:space="preserve">October </w:t>
      </w:r>
      <w:r w:rsidR="00583045" w:rsidRPr="00583045">
        <w:rPr>
          <w:rFonts w:eastAsia="Calibri"/>
        </w:rPr>
        <w:t>2, 2024</w:t>
      </w:r>
      <w:r w:rsidR="009D5F96" w:rsidRPr="00583045">
        <w:rPr>
          <w:rFonts w:eastAsia="Calibri"/>
        </w:rPr>
        <w:t>.</w:t>
      </w:r>
      <w:r w:rsidRPr="00583045">
        <w:rPr>
          <w:rFonts w:eastAsia="Calibri"/>
        </w:rPr>
        <w:t xml:space="preserve"> The general land use submittal requirements were included with this application. These standards are met.</w:t>
      </w:r>
    </w:p>
    <w:p w14:paraId="4F811BE8" w14:textId="77777777" w:rsidR="00293A1C" w:rsidRPr="00214404" w:rsidRDefault="00293A1C" w:rsidP="00293A1C">
      <w:pPr>
        <w:overflowPunct/>
        <w:spacing w:line="259" w:lineRule="auto"/>
        <w:textAlignment w:val="auto"/>
        <w:rPr>
          <w:rStyle w:val="Strong"/>
          <w:rFonts w:eastAsia="Calibri"/>
          <w:u w:val="single"/>
        </w:rPr>
      </w:pPr>
      <w:r w:rsidRPr="00214404">
        <w:rPr>
          <w:rStyle w:val="Strong"/>
          <w:rFonts w:eastAsia="Calibri"/>
          <w:u w:val="single"/>
        </w:rPr>
        <w:t>Section 32.150 - Sign Posting.</w:t>
      </w:r>
    </w:p>
    <w:p w14:paraId="27187BCF" w14:textId="77777777" w:rsidR="00293A1C" w:rsidRPr="00214404" w:rsidRDefault="00293A1C" w:rsidP="00293A1C">
      <w:pPr>
        <w:overflowPunct/>
        <w:textAlignment w:val="auto"/>
        <w:rPr>
          <w:rStyle w:val="Strong"/>
        </w:rPr>
      </w:pPr>
      <w:r w:rsidRPr="00214404">
        <w:rPr>
          <w:rStyle w:val="Strong"/>
        </w:rPr>
        <w:t>(1) When Signs Posted. Signs in conformance with these standards must be posted as follows:</w:t>
      </w:r>
    </w:p>
    <w:p w14:paraId="71527695" w14:textId="77777777" w:rsidR="00293A1C" w:rsidRPr="00214404" w:rsidRDefault="00293A1C" w:rsidP="00293A1C">
      <w:pPr>
        <w:overflowPunct/>
        <w:ind w:left="360"/>
        <w:textAlignment w:val="auto"/>
        <w:rPr>
          <w:rStyle w:val="Strong"/>
        </w:rPr>
      </w:pPr>
      <w:r w:rsidRPr="00214404">
        <w:rPr>
          <w:rStyle w:val="Strong"/>
        </w:rPr>
        <w:t>(a) Signs providing notice of an upcoming neighborhood/developer meeting must be posted prior to a required neighborhood/developer meeting in accordance with Section 32.120(6); and</w:t>
      </w:r>
    </w:p>
    <w:p w14:paraId="039C2FCA" w14:textId="77777777" w:rsidR="00293A1C" w:rsidRPr="00214404" w:rsidRDefault="00293A1C" w:rsidP="00293A1C">
      <w:pPr>
        <w:overflowPunct/>
        <w:ind w:left="360"/>
        <w:textAlignment w:val="auto"/>
        <w:rPr>
          <w:rStyle w:val="Strong"/>
        </w:rPr>
      </w:pPr>
      <w:r w:rsidRPr="00214404">
        <w:rPr>
          <w:rStyle w:val="Strong"/>
        </w:rPr>
        <w:lastRenderedPageBreak/>
        <w:t>(b) Signs providing notice of a pending land use application must be posted after land use application has been submitted for Type II, III and IV-</w:t>
      </w:r>
      <w:proofErr w:type="gramStart"/>
      <w:r w:rsidRPr="00214404">
        <w:rPr>
          <w:rStyle w:val="Strong"/>
        </w:rPr>
        <w:t>A</w:t>
      </w:r>
      <w:proofErr w:type="gramEnd"/>
      <w:r w:rsidRPr="00214404">
        <w:rPr>
          <w:rStyle w:val="Strong"/>
        </w:rPr>
        <w:t xml:space="preserve"> applications. </w:t>
      </w:r>
    </w:p>
    <w:p w14:paraId="19E1FD07" w14:textId="77777777" w:rsidR="00293A1C" w:rsidRPr="00214404" w:rsidRDefault="00293A1C" w:rsidP="00293A1C">
      <w:pPr>
        <w:overflowPunct/>
        <w:textAlignment w:val="auto"/>
        <w:rPr>
          <w:rStyle w:val="Strong"/>
        </w:rPr>
      </w:pPr>
      <w:r w:rsidRPr="00214404">
        <w:rPr>
          <w:rStyle w:val="Strong"/>
        </w:rPr>
        <w:t>(2) Sign Design Requirements. The applicant must provide and post a sign(s) that conforms to the following standards:</w:t>
      </w:r>
    </w:p>
    <w:p w14:paraId="0DB4A234" w14:textId="77777777" w:rsidR="00293A1C" w:rsidRPr="00214404" w:rsidRDefault="00293A1C" w:rsidP="00293A1C">
      <w:pPr>
        <w:overflowPunct/>
        <w:ind w:left="360"/>
        <w:textAlignment w:val="auto"/>
        <w:rPr>
          <w:rStyle w:val="Strong"/>
        </w:rPr>
      </w:pPr>
      <w:r w:rsidRPr="00214404">
        <w:rPr>
          <w:rStyle w:val="Strong"/>
        </w:rPr>
        <w:t>(a) Waterproof sign materials;</w:t>
      </w:r>
    </w:p>
    <w:p w14:paraId="65BF6241" w14:textId="77777777" w:rsidR="00293A1C" w:rsidRPr="00214404" w:rsidRDefault="00293A1C" w:rsidP="00293A1C">
      <w:pPr>
        <w:overflowPunct/>
        <w:ind w:left="360"/>
        <w:textAlignment w:val="auto"/>
        <w:rPr>
          <w:rStyle w:val="Strong"/>
        </w:rPr>
      </w:pPr>
      <w:r w:rsidRPr="00214404">
        <w:rPr>
          <w:rStyle w:val="Strong"/>
        </w:rPr>
        <w:t>(b) Sign face must be no less than eighteen (18) inches by twenty-four (24) inches (18” x 24”); and</w:t>
      </w:r>
    </w:p>
    <w:p w14:paraId="7A294EBF" w14:textId="77777777" w:rsidR="00293A1C" w:rsidRPr="00214404" w:rsidRDefault="00293A1C" w:rsidP="00293A1C">
      <w:pPr>
        <w:overflowPunct/>
        <w:ind w:left="360"/>
        <w:textAlignment w:val="auto"/>
        <w:rPr>
          <w:rStyle w:val="Strong"/>
        </w:rPr>
      </w:pPr>
      <w:r w:rsidRPr="00214404">
        <w:rPr>
          <w:rStyle w:val="Strong"/>
        </w:rPr>
        <w:t>(c) Sign text must be at least two (2) inch font.</w:t>
      </w:r>
    </w:p>
    <w:p w14:paraId="1DBEEE40" w14:textId="36851748" w:rsidR="00293A1C" w:rsidRPr="00214404" w:rsidRDefault="00293A1C" w:rsidP="00293A1C">
      <w:pPr>
        <w:overflowPunct/>
        <w:textAlignment w:val="auto"/>
        <w:rPr>
          <w:rStyle w:val="Strong"/>
        </w:rPr>
      </w:pPr>
      <w:r w:rsidRPr="00214404">
        <w:rPr>
          <w:rStyle w:val="Strong"/>
        </w:rPr>
        <w:t>(3) On-site Placement.</w:t>
      </w:r>
      <w:r w:rsidR="00256F77" w:rsidRPr="00214404">
        <w:rPr>
          <w:rStyle w:val="Strong"/>
        </w:rPr>
        <w:t xml:space="preserve"> </w:t>
      </w:r>
      <w:r w:rsidRPr="00214404">
        <w:rPr>
          <w:rStyle w:val="Strong"/>
        </w:rPr>
        <w:t>The applicant must place one sign on their property along each public street frontage of the subject property. (Example: If a property adjoins four public streets, the applicant must place a sign at each of those public street frontages for a total of four signs). The applicant cannot place the sign within public right of way.</w:t>
      </w:r>
    </w:p>
    <w:p w14:paraId="40C6C047" w14:textId="2B67717D" w:rsidR="00293A1C" w:rsidRPr="00214404" w:rsidRDefault="00293A1C" w:rsidP="00293A1C">
      <w:pPr>
        <w:overflowPunct/>
        <w:textAlignment w:val="auto"/>
        <w:rPr>
          <w:rStyle w:val="Strong"/>
        </w:rPr>
      </w:pPr>
      <w:r w:rsidRPr="00214404">
        <w:rPr>
          <w:rStyle w:val="Strong"/>
        </w:rPr>
        <w:t>(4) Removal.</w:t>
      </w:r>
      <w:r w:rsidR="00256F77" w:rsidRPr="00214404">
        <w:rPr>
          <w:rStyle w:val="Strong"/>
        </w:rPr>
        <w:t xml:space="preserve"> </w:t>
      </w:r>
      <w:r w:rsidRPr="00214404">
        <w:rPr>
          <w:rStyle w:val="Strong"/>
        </w:rPr>
        <w:t xml:space="preserve">If a sign providing notice of a pending land use application disappears prior to the final decision date of the subject land use application, the applicant must replace the sign within forty-eight (48) hours of discovery of the disappearance or of receipt of notice from the City of its disappearance, whichever occurs </w:t>
      </w:r>
      <w:proofErr w:type="gramStart"/>
      <w:r w:rsidRPr="00214404">
        <w:rPr>
          <w:rStyle w:val="Strong"/>
        </w:rPr>
        <w:t>first.</w:t>
      </w:r>
      <w:proofErr w:type="gramEnd"/>
      <w:r w:rsidRPr="00214404">
        <w:rPr>
          <w:rStyle w:val="Strong"/>
        </w:rPr>
        <w:t xml:space="preserve"> The applicant must remove the sign no later than fourteen (14) days after:</w:t>
      </w:r>
    </w:p>
    <w:p w14:paraId="23CB3205" w14:textId="77777777" w:rsidR="00293A1C" w:rsidRPr="00214404" w:rsidRDefault="00293A1C" w:rsidP="00293A1C">
      <w:pPr>
        <w:overflowPunct/>
        <w:ind w:left="360"/>
        <w:textAlignment w:val="auto"/>
        <w:rPr>
          <w:rStyle w:val="Strong"/>
        </w:rPr>
      </w:pPr>
      <w:r w:rsidRPr="00214404">
        <w:rPr>
          <w:rStyle w:val="Strong"/>
        </w:rPr>
        <w:t>(a) The meeting date, in the case of signs providing notice of an upcoming neighborhood/developer meeting; or</w:t>
      </w:r>
    </w:p>
    <w:p w14:paraId="454AB592" w14:textId="77777777" w:rsidR="00293A1C" w:rsidRPr="00214404" w:rsidRDefault="00293A1C" w:rsidP="00293A1C">
      <w:pPr>
        <w:overflowPunct/>
        <w:ind w:left="360"/>
        <w:textAlignment w:val="auto"/>
        <w:rPr>
          <w:rStyle w:val="Strong"/>
        </w:rPr>
      </w:pPr>
      <w:r w:rsidRPr="00214404">
        <w:rPr>
          <w:rStyle w:val="Strong"/>
        </w:rPr>
        <w:t xml:space="preserve">(b) The City makes a final decision on the subject land use application, in the case of signs providing notice of a pending land use application. </w:t>
      </w:r>
    </w:p>
    <w:p w14:paraId="5E246E04" w14:textId="77777777" w:rsidR="00293A1C" w:rsidRPr="00214404" w:rsidRDefault="00293A1C" w:rsidP="00293A1C">
      <w:pPr>
        <w:overflowPunct/>
        <w:ind w:left="360"/>
        <w:textAlignment w:val="auto"/>
        <w:rPr>
          <w:rStyle w:val="Strong"/>
        </w:rPr>
      </w:pPr>
    </w:p>
    <w:p w14:paraId="369D7056" w14:textId="77777777" w:rsidR="00293A1C" w:rsidRPr="00214404" w:rsidRDefault="00293A1C" w:rsidP="00293A1C">
      <w:pPr>
        <w:overflowPunct/>
        <w:textAlignment w:val="auto"/>
        <w:rPr>
          <w:rFonts w:eastAsia="Calibri" w:cs="Calibri"/>
          <w:b/>
          <w:szCs w:val="22"/>
          <w:u w:val="single"/>
        </w:rPr>
      </w:pPr>
      <w:r w:rsidRPr="00214404">
        <w:rPr>
          <w:rFonts w:eastAsia="Calibri" w:cs="Calibri"/>
          <w:b/>
          <w:szCs w:val="22"/>
          <w:u w:val="single"/>
        </w:rPr>
        <w:t>Finding</w:t>
      </w:r>
      <w:r w:rsidRPr="00E15D45">
        <w:rPr>
          <w:rFonts w:eastAsia="Calibri" w:cs="Calibri"/>
          <w:b/>
          <w:szCs w:val="22"/>
        </w:rPr>
        <w:t>:</w:t>
      </w:r>
    </w:p>
    <w:p w14:paraId="50EB67C3" w14:textId="7B1A7BD1" w:rsidR="00293A1C" w:rsidRPr="00214404" w:rsidRDefault="00293A1C" w:rsidP="000E37BA">
      <w:pPr>
        <w:pStyle w:val="Staff"/>
        <w:rPr>
          <w:rFonts w:eastAsia="Calibri"/>
          <w:b/>
        </w:rPr>
      </w:pPr>
      <w:r w:rsidRPr="00E15D45">
        <w:rPr>
          <w:rFonts w:eastAsia="Calibri"/>
        </w:rPr>
        <w:t xml:space="preserve">The applicant provided certification </w:t>
      </w:r>
      <w:r w:rsidR="00FA3FC4" w:rsidRPr="00E15D45">
        <w:rPr>
          <w:rFonts w:eastAsia="Calibri"/>
        </w:rPr>
        <w:t>withi</w:t>
      </w:r>
      <w:r w:rsidR="00FA3FC4" w:rsidRPr="008633E1">
        <w:rPr>
          <w:rFonts w:eastAsia="Calibri"/>
        </w:rPr>
        <w:t xml:space="preserve">n </w:t>
      </w:r>
      <w:r w:rsidR="00125374" w:rsidRPr="008633E1">
        <w:rPr>
          <w:rFonts w:eastAsia="Calibri"/>
        </w:rPr>
        <w:t xml:space="preserve">Exhibit </w:t>
      </w:r>
      <w:r w:rsidR="00CE2FB6" w:rsidRPr="008633E1">
        <w:rPr>
          <w:rFonts w:eastAsia="Calibri"/>
        </w:rPr>
        <w:t>D</w:t>
      </w:r>
      <w:r w:rsidR="00E15D45" w:rsidRPr="008633E1">
        <w:rPr>
          <w:rFonts w:eastAsia="Calibri"/>
        </w:rPr>
        <w:t xml:space="preserve"> </w:t>
      </w:r>
      <w:r w:rsidRPr="008633E1">
        <w:rPr>
          <w:rFonts w:eastAsia="Calibri"/>
        </w:rPr>
        <w:t>th</w:t>
      </w:r>
      <w:r w:rsidRPr="00E15D45">
        <w:rPr>
          <w:rFonts w:eastAsia="Calibri"/>
        </w:rPr>
        <w:t xml:space="preserve">at signs in conformance with this section were placed on site in accordance with this section. </w:t>
      </w:r>
      <w:r w:rsidR="004B1D97" w:rsidRPr="00E15D45">
        <w:rPr>
          <w:rFonts w:eastAsia="Calibri"/>
        </w:rPr>
        <w:t>These standards are</w:t>
      </w:r>
      <w:r w:rsidRPr="00E15D45">
        <w:rPr>
          <w:rFonts w:eastAsia="Calibri"/>
        </w:rPr>
        <w:t xml:space="preserve"> met.</w:t>
      </w:r>
      <w:r w:rsidRPr="00214404">
        <w:rPr>
          <w:rFonts w:eastAsia="Calibri"/>
        </w:rPr>
        <w:t xml:space="preserve"> </w:t>
      </w:r>
    </w:p>
    <w:p w14:paraId="71F8797B" w14:textId="77777777" w:rsidR="00293A1C" w:rsidRPr="00214404" w:rsidRDefault="00293A1C" w:rsidP="00293A1C">
      <w:pPr>
        <w:overflowPunct/>
        <w:spacing w:line="259" w:lineRule="auto"/>
        <w:textAlignment w:val="auto"/>
        <w:rPr>
          <w:rStyle w:val="Strong"/>
          <w:rFonts w:eastAsia="Calibri"/>
          <w:u w:val="single"/>
        </w:rPr>
      </w:pPr>
      <w:r w:rsidRPr="00214404">
        <w:rPr>
          <w:rStyle w:val="Strong"/>
          <w:rFonts w:eastAsia="Calibri"/>
          <w:u w:val="single"/>
        </w:rPr>
        <w:t>Section 32.160 – Completeness Review.</w:t>
      </w:r>
    </w:p>
    <w:p w14:paraId="64595520" w14:textId="77777777" w:rsidR="00293A1C" w:rsidRPr="00214404" w:rsidRDefault="00293A1C" w:rsidP="00293A1C">
      <w:pPr>
        <w:overflowPunct/>
        <w:textAlignment w:val="auto"/>
        <w:rPr>
          <w:rStyle w:val="Strong"/>
        </w:rPr>
      </w:pPr>
      <w:r w:rsidRPr="00214404">
        <w:rPr>
          <w:rStyle w:val="Strong"/>
        </w:rPr>
        <w:t>(1) Duration. Except as otherwise provided under ORS 227.178, the City Manager must review an application for completeness within 30 days of its receipt.</w:t>
      </w:r>
    </w:p>
    <w:p w14:paraId="522386C3" w14:textId="77777777" w:rsidR="00293A1C" w:rsidRPr="00214404" w:rsidRDefault="00293A1C" w:rsidP="00293A1C">
      <w:pPr>
        <w:overflowPunct/>
        <w:textAlignment w:val="auto"/>
        <w:rPr>
          <w:rStyle w:val="Strong"/>
        </w:rPr>
      </w:pPr>
      <w:r w:rsidRPr="00214404">
        <w:rPr>
          <w:rStyle w:val="Strong"/>
        </w:rPr>
        <w:t>(2) Considerations. Determination of completeness will be based upon receipt of the information required under TDC 32.140 and will not be based on opinions as to quality or accuracy. Applications that do not respond to relevant code requirements or standards can be deemed incomplete. A determination that an application is complete indicates only that the application is ready for review on its merits, not that the City will make a favorable decision on the application.</w:t>
      </w:r>
    </w:p>
    <w:p w14:paraId="37F5D463" w14:textId="77777777" w:rsidR="00293A1C" w:rsidRPr="00214404" w:rsidRDefault="00293A1C" w:rsidP="00293A1C">
      <w:pPr>
        <w:overflowPunct/>
        <w:textAlignment w:val="auto"/>
        <w:rPr>
          <w:rStyle w:val="Strong"/>
        </w:rPr>
      </w:pPr>
      <w:r w:rsidRPr="00214404">
        <w:rPr>
          <w:rStyle w:val="Strong"/>
        </w:rPr>
        <w:t>(3) Complete Applications. If an application is determined to be complete, review of the application will commence.</w:t>
      </w:r>
    </w:p>
    <w:p w14:paraId="6CE1A2DE" w14:textId="77777777" w:rsidR="00293A1C" w:rsidRPr="00214404" w:rsidRDefault="00293A1C" w:rsidP="00293A1C">
      <w:pPr>
        <w:overflowPunct/>
        <w:textAlignment w:val="auto"/>
        <w:rPr>
          <w:rStyle w:val="Strong"/>
        </w:rPr>
      </w:pPr>
      <w:r w:rsidRPr="00214404">
        <w:rPr>
          <w:rStyle w:val="Strong"/>
        </w:rPr>
        <w:t>(4) Incomplete Applications. If an application is determined to be incomplete, the City Manager must provide written notice to the applicant identifying the specific information that is missing and allowing the applicant the opportunity to submit the missing information. An application which has been determined to be incomplete must be deemed complete for purposes of this section upon receipt of:</w:t>
      </w:r>
    </w:p>
    <w:p w14:paraId="273214BD" w14:textId="77777777" w:rsidR="00293A1C" w:rsidRPr="00214404" w:rsidRDefault="00293A1C" w:rsidP="00293A1C">
      <w:pPr>
        <w:overflowPunct/>
        <w:ind w:left="360"/>
        <w:textAlignment w:val="auto"/>
        <w:rPr>
          <w:rStyle w:val="Strong"/>
        </w:rPr>
      </w:pPr>
      <w:r w:rsidRPr="00214404">
        <w:rPr>
          <w:rStyle w:val="Strong"/>
        </w:rPr>
        <w:t>(</w:t>
      </w:r>
      <w:proofErr w:type="gramStart"/>
      <w:r w:rsidRPr="00214404">
        <w:rPr>
          <w:rStyle w:val="Strong"/>
        </w:rPr>
        <w:t>a</w:t>
      </w:r>
      <w:proofErr w:type="gramEnd"/>
      <w:r w:rsidRPr="00214404">
        <w:rPr>
          <w:rStyle w:val="Strong"/>
        </w:rPr>
        <w:t>) All of the missing information;</w:t>
      </w:r>
    </w:p>
    <w:p w14:paraId="47525453" w14:textId="77777777" w:rsidR="00293A1C" w:rsidRPr="00214404" w:rsidRDefault="00293A1C" w:rsidP="00293A1C">
      <w:pPr>
        <w:overflowPunct/>
        <w:ind w:left="360"/>
        <w:textAlignment w:val="auto"/>
        <w:rPr>
          <w:rStyle w:val="Strong"/>
        </w:rPr>
      </w:pPr>
      <w:r w:rsidRPr="00214404">
        <w:rPr>
          <w:rStyle w:val="Strong"/>
        </w:rPr>
        <w:t>(b) Some of the missing information and written notice from the applicant that no other information will be provided; or</w:t>
      </w:r>
    </w:p>
    <w:p w14:paraId="3C79E0CD" w14:textId="77777777" w:rsidR="00293A1C" w:rsidRPr="00214404" w:rsidRDefault="00293A1C" w:rsidP="00293A1C">
      <w:pPr>
        <w:overflowPunct/>
        <w:ind w:left="360"/>
        <w:textAlignment w:val="auto"/>
        <w:rPr>
          <w:rStyle w:val="Strong"/>
        </w:rPr>
      </w:pPr>
      <w:r w:rsidRPr="00214404">
        <w:rPr>
          <w:rStyle w:val="Strong"/>
        </w:rPr>
        <w:t>(c) Written notice from the applicant that none of the missing information will be provided.</w:t>
      </w:r>
    </w:p>
    <w:p w14:paraId="2AB1DA7C" w14:textId="77777777" w:rsidR="00293A1C" w:rsidRPr="00214404" w:rsidRDefault="00293A1C" w:rsidP="00293A1C">
      <w:pPr>
        <w:overflowPunct/>
        <w:textAlignment w:val="auto"/>
        <w:rPr>
          <w:rStyle w:val="Strong"/>
        </w:rPr>
      </w:pPr>
      <w:r w:rsidRPr="00214404">
        <w:rPr>
          <w:rStyle w:val="Strong"/>
        </w:rPr>
        <w:t xml:space="preserve">(5) Vesting. If an application was complete at the time it was first submitted, or if the applicant submits additional required information within 180 days of the date the application was first </w:t>
      </w:r>
      <w:r w:rsidRPr="00214404">
        <w:rPr>
          <w:rStyle w:val="Strong"/>
        </w:rPr>
        <w:lastRenderedPageBreak/>
        <w:t>submitted, approval or denial of the application must be based upon the standards and criteria that were in effect at the time the application was first submitted.</w:t>
      </w:r>
    </w:p>
    <w:p w14:paraId="0417A1DD" w14:textId="77777777" w:rsidR="00293A1C" w:rsidRPr="00214404" w:rsidRDefault="00293A1C" w:rsidP="00293A1C">
      <w:pPr>
        <w:overflowPunct/>
        <w:textAlignment w:val="auto"/>
        <w:rPr>
          <w:rStyle w:val="Strong"/>
        </w:rPr>
      </w:pPr>
      <w:r w:rsidRPr="00214404">
        <w:rPr>
          <w:rStyle w:val="Strong"/>
        </w:rPr>
        <w:t>(6) Void Applications. An application is void if the application has been on file with the City for more than 180 days and the applicant has not provided the missing information or otherwise responded, as provided in subsection (4) of this section.</w:t>
      </w:r>
    </w:p>
    <w:p w14:paraId="19A95475" w14:textId="77777777" w:rsidR="00293A1C" w:rsidRPr="00214404" w:rsidRDefault="00293A1C" w:rsidP="00293A1C">
      <w:pPr>
        <w:overflowPunct/>
        <w:textAlignment w:val="auto"/>
        <w:rPr>
          <w:rStyle w:val="Strong"/>
        </w:rPr>
      </w:pPr>
      <w:r w:rsidRPr="00214404">
        <w:rPr>
          <w:rStyle w:val="Strong"/>
        </w:rPr>
        <w:t>[…]</w:t>
      </w:r>
    </w:p>
    <w:p w14:paraId="20BA7350" w14:textId="7BF4C421" w:rsidR="00C34138" w:rsidRDefault="00C34138" w:rsidP="00293A1C">
      <w:pPr>
        <w:overflowPunct/>
        <w:textAlignment w:val="auto"/>
        <w:rPr>
          <w:rFonts w:eastAsia="Calibri" w:cs="Calibri"/>
          <w:b/>
          <w:szCs w:val="22"/>
          <w:u w:val="single"/>
        </w:rPr>
      </w:pPr>
    </w:p>
    <w:p w14:paraId="4A4DCAAB" w14:textId="5B9C92D9" w:rsidR="00293A1C" w:rsidRPr="00214404" w:rsidRDefault="00293A1C" w:rsidP="00293A1C">
      <w:pPr>
        <w:overflowPunct/>
        <w:textAlignment w:val="auto"/>
        <w:rPr>
          <w:rFonts w:eastAsia="Calibri" w:cs="Calibri"/>
          <w:b/>
          <w:szCs w:val="22"/>
          <w:u w:val="single"/>
        </w:rPr>
      </w:pPr>
      <w:r w:rsidRPr="00214404">
        <w:rPr>
          <w:rFonts w:eastAsia="Calibri" w:cs="Calibri"/>
          <w:b/>
          <w:szCs w:val="22"/>
          <w:u w:val="single"/>
        </w:rPr>
        <w:t>Finding</w:t>
      </w:r>
      <w:r w:rsidRPr="00C34138">
        <w:rPr>
          <w:rFonts w:eastAsia="Calibri" w:cs="Calibri"/>
          <w:b/>
          <w:szCs w:val="22"/>
        </w:rPr>
        <w:t>:</w:t>
      </w:r>
    </w:p>
    <w:p w14:paraId="1BCE6B86" w14:textId="3804C582" w:rsidR="00FC2739" w:rsidRPr="003B65ED" w:rsidRDefault="00B86A10" w:rsidP="003B65ED">
      <w:pPr>
        <w:pStyle w:val="Staff"/>
        <w:rPr>
          <w:rStyle w:val="Strong"/>
          <w:rFonts w:eastAsia="Calibri"/>
          <w:b w:val="0"/>
          <w:bCs w:val="0"/>
        </w:rPr>
      </w:pPr>
      <w:r w:rsidRPr="003B65ED">
        <w:rPr>
          <w:rFonts w:eastAsia="Calibri"/>
        </w:rPr>
        <w:t xml:space="preserve">The applicant submitted an application for </w:t>
      </w:r>
      <w:r w:rsidR="00C34138" w:rsidRPr="003B65ED">
        <w:rPr>
          <w:rFonts w:eastAsia="Calibri"/>
        </w:rPr>
        <w:t>S</w:t>
      </w:r>
      <w:r w:rsidR="003B65ED" w:rsidRPr="003B65ED">
        <w:rPr>
          <w:rFonts w:eastAsia="Calibri"/>
        </w:rPr>
        <w:t>VAR 24-0001</w:t>
      </w:r>
      <w:r w:rsidR="00C34138" w:rsidRPr="003B65ED">
        <w:rPr>
          <w:rFonts w:eastAsia="Calibri"/>
        </w:rPr>
        <w:t xml:space="preserve"> on August 28, 2024</w:t>
      </w:r>
      <w:r w:rsidRPr="003B65ED">
        <w:rPr>
          <w:rFonts w:eastAsia="Calibri"/>
        </w:rPr>
        <w:t xml:space="preserve">. The application was deemed complete on </w:t>
      </w:r>
      <w:r w:rsidR="003B65ED" w:rsidRPr="003B65ED">
        <w:rPr>
          <w:rFonts w:eastAsia="Calibri"/>
        </w:rPr>
        <w:t>October 2, 2024</w:t>
      </w:r>
      <w:r w:rsidRPr="003B65ED">
        <w:rPr>
          <w:rFonts w:eastAsia="Calibri"/>
        </w:rPr>
        <w:t>. These standards are met.</w:t>
      </w:r>
    </w:p>
    <w:p w14:paraId="16D23508" w14:textId="502AFA3A" w:rsidR="00293A1C" w:rsidRPr="00214404" w:rsidRDefault="002B0E14" w:rsidP="00293A1C">
      <w:pPr>
        <w:overflowPunct/>
        <w:spacing w:line="259" w:lineRule="auto"/>
        <w:textAlignment w:val="auto"/>
        <w:rPr>
          <w:rStyle w:val="Strong"/>
          <w:rFonts w:eastAsia="Calibri"/>
          <w:u w:val="single"/>
        </w:rPr>
      </w:pPr>
      <w:r w:rsidRPr="00214404">
        <w:rPr>
          <w:rStyle w:val="Strong"/>
          <w:rFonts w:eastAsia="Calibri"/>
          <w:u w:val="single"/>
        </w:rPr>
        <w:t>Section 32.230. - Type III Procedure (Quasi-Judicial Review—Public Hearing).</w:t>
      </w:r>
    </w:p>
    <w:p w14:paraId="553806B4" w14:textId="77777777" w:rsidR="002B0E14" w:rsidRPr="00214404" w:rsidRDefault="002B0E14" w:rsidP="002B0E14">
      <w:pPr>
        <w:overflowPunct/>
        <w:textAlignment w:val="auto"/>
        <w:rPr>
          <w:rStyle w:val="Strong"/>
        </w:rPr>
      </w:pPr>
      <w:r w:rsidRPr="00214404">
        <w:rPr>
          <w:rStyle w:val="Strong"/>
        </w:rPr>
        <w:t>Type III decisions involve the use of discretion and judgment and are made by the Planning Commission or Architectural Review Board after a public hearing with an opportunity for appeal to the City Council. The decision body for each application type is specified in Table 32-1. A hearing under these procedures provides a forum to apply standards to a specific set of facts to determine whether the facts conform to the applicable criteria and the resulting determination will directly affect only a small number of identifiable persons.</w:t>
      </w:r>
    </w:p>
    <w:p w14:paraId="20FC6999" w14:textId="05E1B909" w:rsidR="002B0E14" w:rsidRPr="00214404" w:rsidRDefault="002B0E14" w:rsidP="002B0E14">
      <w:pPr>
        <w:overflowPunct/>
        <w:textAlignment w:val="auto"/>
        <w:rPr>
          <w:rStyle w:val="Strong"/>
        </w:rPr>
      </w:pPr>
      <w:r w:rsidRPr="00214404">
        <w:rPr>
          <w:rStyle w:val="Strong"/>
        </w:rPr>
        <w:t>(1) Submittal Requirements. Type III applications must include the submittal information required by TDC</w:t>
      </w:r>
      <w:hyperlink r:id="rId10" w:history="1">
        <w:r w:rsidRPr="00214404">
          <w:rPr>
            <w:rStyle w:val="Strong"/>
          </w:rPr>
          <w:t> 32.140</w:t>
        </w:r>
      </w:hyperlink>
      <w:r w:rsidRPr="00214404">
        <w:rPr>
          <w:rStyle w:val="Strong"/>
        </w:rPr>
        <w:t>(1).</w:t>
      </w:r>
    </w:p>
    <w:p w14:paraId="5CB5E447" w14:textId="79E864FF" w:rsidR="002B0E14" w:rsidRPr="00214404" w:rsidRDefault="002B0E14" w:rsidP="002B0E14">
      <w:pPr>
        <w:overflowPunct/>
        <w:textAlignment w:val="auto"/>
        <w:rPr>
          <w:rStyle w:val="Strong"/>
        </w:rPr>
      </w:pPr>
      <w:r w:rsidRPr="00214404">
        <w:rPr>
          <w:rStyle w:val="Strong"/>
        </w:rPr>
        <w:t>(2) Determination of Completeness. After receiving an application for filing, the City Manager will review the application will for completeness in accordance with TDC</w:t>
      </w:r>
      <w:hyperlink r:id="rId11" w:history="1">
        <w:r w:rsidRPr="00214404">
          <w:rPr>
            <w:rStyle w:val="Strong"/>
          </w:rPr>
          <w:t> 32.160</w:t>
        </w:r>
      </w:hyperlink>
      <w:r w:rsidRPr="00214404">
        <w:rPr>
          <w:rStyle w:val="Strong"/>
        </w:rPr>
        <w:t>.</w:t>
      </w:r>
    </w:p>
    <w:p w14:paraId="20035E27" w14:textId="09F0735A" w:rsidR="002B0E14" w:rsidRPr="00214404" w:rsidRDefault="002B0E14" w:rsidP="002B0E14">
      <w:pPr>
        <w:overflowPunct/>
        <w:textAlignment w:val="auto"/>
        <w:rPr>
          <w:rStyle w:val="Strong"/>
        </w:rPr>
      </w:pPr>
      <w:r w:rsidRPr="00214404">
        <w:rPr>
          <w:rStyle w:val="Strong"/>
        </w:rPr>
        <w:t>(3) Written Notice of Public Hearing—Type III. Once the application has been deemed complete, the City must mail by regular first class mail Notice of a Public Hearing to the following individuals and agencies no fewer than 20 days before the hearing.</w:t>
      </w:r>
    </w:p>
    <w:p w14:paraId="77883F52" w14:textId="399167AF" w:rsidR="002B0E14" w:rsidRPr="00214404" w:rsidRDefault="002B0E14" w:rsidP="002B0E14">
      <w:pPr>
        <w:overflowPunct/>
        <w:ind w:firstLine="432"/>
        <w:textAlignment w:val="auto"/>
        <w:rPr>
          <w:rStyle w:val="Strong"/>
        </w:rPr>
      </w:pPr>
      <w:r w:rsidRPr="00214404">
        <w:rPr>
          <w:rStyle w:val="Strong"/>
        </w:rPr>
        <w:t>(a) Recipients:</w:t>
      </w:r>
    </w:p>
    <w:p w14:paraId="224265A7" w14:textId="6463B9FF" w:rsidR="002B0E14" w:rsidRPr="00214404" w:rsidRDefault="002B0E14" w:rsidP="002B0E14">
      <w:pPr>
        <w:overflowPunct/>
        <w:ind w:left="864"/>
        <w:textAlignment w:val="auto"/>
        <w:rPr>
          <w:rStyle w:val="Strong"/>
        </w:rPr>
      </w:pPr>
      <w:r w:rsidRPr="00214404">
        <w:rPr>
          <w:rStyle w:val="Strong"/>
        </w:rPr>
        <w:t>(</w:t>
      </w:r>
      <w:proofErr w:type="spellStart"/>
      <w:r w:rsidRPr="00214404">
        <w:rPr>
          <w:rStyle w:val="Strong"/>
        </w:rPr>
        <w:t>i</w:t>
      </w:r>
      <w:proofErr w:type="spellEnd"/>
      <w:r w:rsidRPr="00214404">
        <w:rPr>
          <w:rStyle w:val="Strong"/>
        </w:rPr>
        <w:t>) The applicant and, the owners of the subject property;</w:t>
      </w:r>
    </w:p>
    <w:p w14:paraId="56E45E50" w14:textId="49855DED" w:rsidR="002B0E14" w:rsidRPr="00214404" w:rsidRDefault="002B0E14" w:rsidP="002B0E14">
      <w:pPr>
        <w:overflowPunct/>
        <w:ind w:left="864"/>
        <w:textAlignment w:val="auto"/>
        <w:rPr>
          <w:rStyle w:val="Strong"/>
        </w:rPr>
      </w:pPr>
      <w:r w:rsidRPr="00214404">
        <w:rPr>
          <w:rStyle w:val="Strong"/>
        </w:rPr>
        <w:t>(ii) All property owners within 1,000 feet measured from the boundaries of the subject property;</w:t>
      </w:r>
    </w:p>
    <w:p w14:paraId="169BE7E1" w14:textId="596771C5" w:rsidR="002B0E14" w:rsidRPr="00214404" w:rsidRDefault="002B0E14" w:rsidP="002B0E14">
      <w:pPr>
        <w:overflowPunct/>
        <w:ind w:left="864"/>
        <w:textAlignment w:val="auto"/>
        <w:rPr>
          <w:rStyle w:val="Strong"/>
        </w:rPr>
      </w:pPr>
      <w:r w:rsidRPr="00214404">
        <w:rPr>
          <w:rStyle w:val="Strong"/>
        </w:rPr>
        <w:t>(iii) All property owners within a platted residential subdivision that is located within 1,000 feet of the boundaries of the subject property. The notice area includes the entire subdivision and not just those lots within 1,000 feet. If the residential subdivision is one of two or more individually platted phases sharing a single subdivision name, the notice area need not include the additional phases;</w:t>
      </w:r>
    </w:p>
    <w:p w14:paraId="12E3E0DA" w14:textId="343655FC" w:rsidR="002B0E14" w:rsidRPr="00214404" w:rsidRDefault="002B0E14" w:rsidP="002B0E14">
      <w:pPr>
        <w:overflowPunct/>
        <w:ind w:left="864"/>
        <w:textAlignment w:val="auto"/>
        <w:rPr>
          <w:rStyle w:val="Strong"/>
        </w:rPr>
      </w:pPr>
      <w:proofErr w:type="gramStart"/>
      <w:r w:rsidRPr="00214404">
        <w:rPr>
          <w:rStyle w:val="Strong"/>
        </w:rPr>
        <w:t>(iv) All</w:t>
      </w:r>
      <w:proofErr w:type="gramEnd"/>
      <w:r w:rsidRPr="00214404">
        <w:rPr>
          <w:rStyle w:val="Strong"/>
        </w:rPr>
        <w:t xml:space="preserve"> recognized neighborhood associations within 1,000 feet from the boundaries of the subject property;</w:t>
      </w:r>
    </w:p>
    <w:p w14:paraId="69EBC69E" w14:textId="58CB6A9F" w:rsidR="002B0E14" w:rsidRPr="00214404" w:rsidRDefault="002B0E14" w:rsidP="002B0E14">
      <w:pPr>
        <w:overflowPunct/>
        <w:ind w:left="864"/>
        <w:textAlignment w:val="auto"/>
        <w:rPr>
          <w:rStyle w:val="Strong"/>
        </w:rPr>
      </w:pPr>
      <w:r w:rsidRPr="00214404">
        <w:rPr>
          <w:rStyle w:val="Strong"/>
        </w:rPr>
        <w:t>(v) All designated representatives of recognized Citizen Involvement Organizations as established in TMC Chapter 11-9;</w:t>
      </w:r>
    </w:p>
    <w:p w14:paraId="5B3559DD" w14:textId="6CEED212" w:rsidR="002B0E14" w:rsidRPr="00214404" w:rsidRDefault="002B0E14" w:rsidP="002B0E14">
      <w:pPr>
        <w:overflowPunct/>
        <w:ind w:left="864"/>
        <w:textAlignment w:val="auto"/>
        <w:rPr>
          <w:rStyle w:val="Strong"/>
        </w:rPr>
      </w:pPr>
      <w:proofErr w:type="gramStart"/>
      <w:r w:rsidRPr="00214404">
        <w:rPr>
          <w:rStyle w:val="Strong"/>
        </w:rPr>
        <w:t>(vi) Any</w:t>
      </w:r>
      <w:proofErr w:type="gramEnd"/>
      <w:r w:rsidRPr="00214404">
        <w:rPr>
          <w:rStyle w:val="Strong"/>
        </w:rPr>
        <w:t xml:space="preserve"> person who submits a written request to receive a notice;</w:t>
      </w:r>
    </w:p>
    <w:p w14:paraId="33BF5B36" w14:textId="7CE7269B" w:rsidR="002B0E14" w:rsidRPr="00214404" w:rsidRDefault="002B0E14" w:rsidP="002B0E14">
      <w:pPr>
        <w:overflowPunct/>
        <w:ind w:left="864"/>
        <w:textAlignment w:val="auto"/>
        <w:rPr>
          <w:rStyle w:val="Strong"/>
        </w:rPr>
      </w:pPr>
      <w:r w:rsidRPr="00214404">
        <w:rPr>
          <w:rStyle w:val="Strong"/>
        </w:rPr>
        <w:t xml:space="preserve">(vii) Any governmental agency that is entitled to notice under an intergovernmental agreement entered into with the City and any other affected agencies, including but not limited to: school districts; fire district; where the project either adjoins or directly affects a state highway, the Oregon Department of Transportation; and where the project site would access a County road or otherwise be subject to review by the County, then the County; and Clean Water Services; Tri Met; and, ODOT Rail Division and the railroad company if a railroad-highway grade crossing provides or will provide the only access to the subject property. The failure of another agency to respond with written comments on a pending </w:t>
      </w:r>
      <w:r w:rsidRPr="00214404">
        <w:rPr>
          <w:rStyle w:val="Strong"/>
        </w:rPr>
        <w:lastRenderedPageBreak/>
        <w:t>application does not invalidate an action or permit approval made by the City under this Code;</w:t>
      </w:r>
    </w:p>
    <w:p w14:paraId="5A54D585" w14:textId="77B952AB" w:rsidR="002B0E14" w:rsidRPr="00214404" w:rsidRDefault="002B0E14" w:rsidP="002B0E14">
      <w:pPr>
        <w:overflowPunct/>
        <w:ind w:left="864"/>
        <w:textAlignment w:val="auto"/>
        <w:rPr>
          <w:rStyle w:val="Strong"/>
        </w:rPr>
      </w:pPr>
      <w:r w:rsidRPr="00214404">
        <w:rPr>
          <w:rStyle w:val="Strong"/>
        </w:rPr>
        <w:t>(viii) Utility companies (as applicable); and,</w:t>
      </w:r>
    </w:p>
    <w:p w14:paraId="4D39ED2F" w14:textId="07C3DF23" w:rsidR="002B0E14" w:rsidRPr="00214404" w:rsidRDefault="002B0E14" w:rsidP="002B0E14">
      <w:pPr>
        <w:overflowPunct/>
        <w:ind w:left="864"/>
        <w:textAlignment w:val="auto"/>
        <w:rPr>
          <w:rStyle w:val="Strong"/>
        </w:rPr>
      </w:pPr>
      <w:r w:rsidRPr="00214404">
        <w:rPr>
          <w:rStyle w:val="Strong"/>
        </w:rPr>
        <w:t>(</w:t>
      </w:r>
      <w:proofErr w:type="gramStart"/>
      <w:r w:rsidRPr="00214404">
        <w:rPr>
          <w:rStyle w:val="Strong"/>
        </w:rPr>
        <w:t>ix</w:t>
      </w:r>
      <w:proofErr w:type="gramEnd"/>
      <w:r w:rsidRPr="00214404">
        <w:rPr>
          <w:rStyle w:val="Strong"/>
        </w:rPr>
        <w:t>) Members of the decision body identified in Table 32-1.</w:t>
      </w:r>
    </w:p>
    <w:p w14:paraId="2098B5F5" w14:textId="03D0D6E3" w:rsidR="002B0E14" w:rsidRPr="00214404" w:rsidRDefault="002B0E14" w:rsidP="002B0E14">
      <w:pPr>
        <w:overflowPunct/>
        <w:ind w:left="432"/>
        <w:textAlignment w:val="auto"/>
        <w:rPr>
          <w:rStyle w:val="Strong"/>
        </w:rPr>
      </w:pPr>
      <w:r w:rsidRPr="00214404">
        <w:rPr>
          <w:rStyle w:val="Strong"/>
        </w:rPr>
        <w:t>(b) The Notice of a Public Hearing, at a minimum, must contain all of the following information:</w:t>
      </w:r>
    </w:p>
    <w:p w14:paraId="31FFA33D" w14:textId="70886F3A" w:rsidR="002B0E14" w:rsidRPr="00214404" w:rsidRDefault="002B0E14" w:rsidP="002B0E14">
      <w:pPr>
        <w:overflowPunct/>
        <w:ind w:left="864"/>
        <w:textAlignment w:val="auto"/>
        <w:rPr>
          <w:rStyle w:val="Strong"/>
        </w:rPr>
      </w:pPr>
      <w:r w:rsidRPr="00214404">
        <w:rPr>
          <w:rStyle w:val="Strong"/>
        </w:rPr>
        <w:t>(</w:t>
      </w:r>
      <w:proofErr w:type="spellStart"/>
      <w:r w:rsidRPr="00214404">
        <w:rPr>
          <w:rStyle w:val="Strong"/>
        </w:rPr>
        <w:t>i</w:t>
      </w:r>
      <w:proofErr w:type="spellEnd"/>
      <w:r w:rsidRPr="00214404">
        <w:rPr>
          <w:rStyle w:val="Strong"/>
        </w:rPr>
        <w:t>) The names of the applicant(s), any representative(s) thereof, and the owner(s) of the subject property;</w:t>
      </w:r>
    </w:p>
    <w:p w14:paraId="4B42C6EB" w14:textId="66463178" w:rsidR="002B0E14" w:rsidRPr="00214404" w:rsidRDefault="002B0E14" w:rsidP="002B0E14">
      <w:pPr>
        <w:overflowPunct/>
        <w:ind w:left="864"/>
        <w:textAlignment w:val="auto"/>
        <w:rPr>
          <w:rStyle w:val="Strong"/>
        </w:rPr>
      </w:pPr>
      <w:r w:rsidRPr="00214404">
        <w:rPr>
          <w:rStyle w:val="Strong"/>
        </w:rPr>
        <w:t>(ii) The street address if assigned, if no street address has been assigned then Township, Range, Section, Tax Lot or Tax Lot ID;</w:t>
      </w:r>
    </w:p>
    <w:p w14:paraId="3DE5B2AF" w14:textId="7712F6FE" w:rsidR="002B0E14" w:rsidRPr="00214404" w:rsidRDefault="002B0E14" w:rsidP="002B0E14">
      <w:pPr>
        <w:overflowPunct/>
        <w:ind w:left="864"/>
        <w:textAlignment w:val="auto"/>
        <w:rPr>
          <w:rStyle w:val="Strong"/>
        </w:rPr>
      </w:pPr>
      <w:r w:rsidRPr="00214404">
        <w:rPr>
          <w:rStyle w:val="Strong"/>
        </w:rPr>
        <w:t>(iii) The type of application and a concise description of the nature of the land use action;</w:t>
      </w:r>
    </w:p>
    <w:p w14:paraId="3F456FCE" w14:textId="4AFD0D3D" w:rsidR="002B0E14" w:rsidRPr="00214404" w:rsidRDefault="002B0E14" w:rsidP="002B0E14">
      <w:pPr>
        <w:overflowPunct/>
        <w:ind w:left="864"/>
        <w:textAlignment w:val="auto"/>
        <w:rPr>
          <w:rStyle w:val="Strong"/>
        </w:rPr>
      </w:pPr>
      <w:proofErr w:type="gramStart"/>
      <w:r w:rsidRPr="00214404">
        <w:rPr>
          <w:rStyle w:val="Strong"/>
        </w:rPr>
        <w:t>(iv) A</w:t>
      </w:r>
      <w:proofErr w:type="gramEnd"/>
      <w:r w:rsidRPr="00214404">
        <w:rPr>
          <w:rStyle w:val="Strong"/>
        </w:rPr>
        <w:t xml:space="preserve"> list of the approval criteria by TDC section for the decision and other ordinances or regulations that apply to the application at issue;</w:t>
      </w:r>
    </w:p>
    <w:p w14:paraId="35B0A179" w14:textId="58F0A8E3" w:rsidR="002B0E14" w:rsidRPr="00214404" w:rsidRDefault="002B0E14" w:rsidP="002B0E14">
      <w:pPr>
        <w:overflowPunct/>
        <w:ind w:left="864"/>
        <w:textAlignment w:val="auto"/>
        <w:rPr>
          <w:rStyle w:val="Strong"/>
        </w:rPr>
      </w:pPr>
      <w:r w:rsidRPr="00214404">
        <w:rPr>
          <w:rStyle w:val="Strong"/>
        </w:rPr>
        <w:t>(v) Brief summary of the local decision making process for the land use decision being made and a general explanation of the requirements for submission of testimony and the procedure for conduct of hearings;</w:t>
      </w:r>
    </w:p>
    <w:p w14:paraId="3B5F859C" w14:textId="43C5C7E7" w:rsidR="002B0E14" w:rsidRPr="00214404" w:rsidRDefault="002B0E14" w:rsidP="002B0E14">
      <w:pPr>
        <w:overflowPunct/>
        <w:ind w:left="864"/>
        <w:textAlignment w:val="auto"/>
        <w:rPr>
          <w:rStyle w:val="Strong"/>
        </w:rPr>
      </w:pPr>
      <w:proofErr w:type="gramStart"/>
      <w:r w:rsidRPr="00214404">
        <w:rPr>
          <w:rStyle w:val="Strong"/>
        </w:rPr>
        <w:t>(vi) The</w:t>
      </w:r>
      <w:proofErr w:type="gramEnd"/>
      <w:r w:rsidRPr="00214404">
        <w:rPr>
          <w:rStyle w:val="Strong"/>
        </w:rPr>
        <w:t xml:space="preserve"> date, time and location of the hearing;</w:t>
      </w:r>
    </w:p>
    <w:p w14:paraId="36F6282D" w14:textId="68FD42E2" w:rsidR="002B0E14" w:rsidRPr="00214404" w:rsidRDefault="002B0E14" w:rsidP="002B0E14">
      <w:pPr>
        <w:overflowPunct/>
        <w:ind w:left="864"/>
        <w:textAlignment w:val="auto"/>
        <w:rPr>
          <w:rStyle w:val="Strong"/>
        </w:rPr>
      </w:pPr>
      <w:r w:rsidRPr="00214404">
        <w:rPr>
          <w:rStyle w:val="Strong"/>
        </w:rPr>
        <w:t>(vii) Disclosure statement indicating that if any person fails to address the relevant approval criteria with enough detail, he or she may not be able to appeal to the Land Use Board of Appeals on that issue, and that only comments on the relevant approval criteria are considered relevant evidence;</w:t>
      </w:r>
    </w:p>
    <w:p w14:paraId="1250BCFA" w14:textId="5A6CD527" w:rsidR="002B0E14" w:rsidRPr="00214404" w:rsidRDefault="002B0E14" w:rsidP="002B0E14">
      <w:pPr>
        <w:overflowPunct/>
        <w:ind w:left="864"/>
        <w:textAlignment w:val="auto"/>
        <w:rPr>
          <w:rStyle w:val="Strong"/>
        </w:rPr>
      </w:pPr>
      <w:r w:rsidRPr="00214404">
        <w:rPr>
          <w:rStyle w:val="Strong"/>
        </w:rPr>
        <w:t>(viii) The name of a City representative to contact and the telephone number where additional information may be obtained; and</w:t>
      </w:r>
    </w:p>
    <w:p w14:paraId="3174B3FC" w14:textId="4A3FC363" w:rsidR="002B0E14" w:rsidRPr="00214404" w:rsidRDefault="002B0E14" w:rsidP="002B0E14">
      <w:pPr>
        <w:overflowPunct/>
        <w:ind w:left="864"/>
        <w:textAlignment w:val="auto"/>
        <w:rPr>
          <w:rStyle w:val="Strong"/>
        </w:rPr>
      </w:pPr>
      <w:r w:rsidRPr="00214404">
        <w:rPr>
          <w:rStyle w:val="Strong"/>
        </w:rPr>
        <w:t>(ix) Statement that the application and all documents and evidence submitted to the City are in the public record and available for review, and that copies can be obtained at a reasonable cost from the City; and</w:t>
      </w:r>
    </w:p>
    <w:p w14:paraId="0988BC28" w14:textId="1CCC81E4" w:rsidR="002B0E14" w:rsidRPr="00214404" w:rsidRDefault="002B0E14" w:rsidP="002B0E14">
      <w:pPr>
        <w:overflowPunct/>
        <w:ind w:left="864"/>
        <w:textAlignment w:val="auto"/>
        <w:rPr>
          <w:rStyle w:val="Strong"/>
        </w:rPr>
      </w:pPr>
      <w:r w:rsidRPr="00214404">
        <w:rPr>
          <w:rStyle w:val="Strong"/>
        </w:rPr>
        <w:t>(x) Statement that a copy of the staff report will be available for inspection at no cost at least seven days prior to the hearing and will be provided at reasonable cost.</w:t>
      </w:r>
    </w:p>
    <w:p w14:paraId="6CD288B8" w14:textId="58BF8E66" w:rsidR="002B0E14" w:rsidRPr="00214404" w:rsidRDefault="002B0E14" w:rsidP="002B0E14">
      <w:pPr>
        <w:overflowPunct/>
        <w:ind w:left="432"/>
        <w:textAlignment w:val="auto"/>
        <w:rPr>
          <w:rStyle w:val="Strong"/>
        </w:rPr>
      </w:pPr>
      <w:r w:rsidRPr="00214404">
        <w:rPr>
          <w:rStyle w:val="Strong"/>
        </w:rPr>
        <w:t>(c) Failure of a person or agency to receive a notice, does not invalidate any proceeding in connection with the application, provided the City can demonstrate by affidavit that required notice was given.</w:t>
      </w:r>
    </w:p>
    <w:p w14:paraId="1F088DAA" w14:textId="77777777" w:rsidR="006D0D5C" w:rsidRPr="00214404" w:rsidRDefault="006D0D5C" w:rsidP="006779B5">
      <w:pPr>
        <w:overflowPunct/>
        <w:textAlignment w:val="auto"/>
        <w:rPr>
          <w:rFonts w:cs="Calibri"/>
          <w:b/>
          <w:color w:val="000000"/>
          <w:szCs w:val="22"/>
          <w:u w:val="single"/>
        </w:rPr>
      </w:pPr>
    </w:p>
    <w:p w14:paraId="02C7C1E8" w14:textId="7F4193ED" w:rsidR="006779B5" w:rsidRPr="00214404" w:rsidRDefault="006779B5" w:rsidP="006779B5">
      <w:pPr>
        <w:overflowPunct/>
        <w:textAlignment w:val="auto"/>
        <w:rPr>
          <w:rFonts w:cs="Calibri"/>
          <w:b/>
          <w:color w:val="000000"/>
          <w:szCs w:val="22"/>
          <w:u w:val="single"/>
        </w:rPr>
      </w:pPr>
      <w:r w:rsidRPr="00214404">
        <w:rPr>
          <w:rFonts w:cs="Calibri"/>
          <w:b/>
          <w:color w:val="000000"/>
          <w:szCs w:val="22"/>
          <w:u w:val="single"/>
        </w:rPr>
        <w:t>Finding</w:t>
      </w:r>
      <w:r w:rsidRPr="00B70688">
        <w:rPr>
          <w:rFonts w:cs="Calibri"/>
          <w:b/>
          <w:color w:val="000000"/>
          <w:szCs w:val="22"/>
        </w:rPr>
        <w:t>:</w:t>
      </w:r>
    </w:p>
    <w:p w14:paraId="615C7A33" w14:textId="49235DBD" w:rsidR="006779B5" w:rsidRPr="00214404" w:rsidRDefault="006779B5" w:rsidP="006779B5">
      <w:pPr>
        <w:pStyle w:val="Staff"/>
        <w:rPr>
          <w:rStyle w:val="Strong"/>
          <w:b w:val="0"/>
          <w:bCs w:val="0"/>
        </w:rPr>
      </w:pPr>
      <w:r w:rsidRPr="00B70688">
        <w:t xml:space="preserve">After submittal and completeness review as required by this section, notice for the Type III hearing concerning </w:t>
      </w:r>
      <w:r w:rsidR="00B70688" w:rsidRPr="00B70688">
        <w:t>SVAR 24</w:t>
      </w:r>
      <w:r w:rsidR="009D5F96" w:rsidRPr="00B70688">
        <w:t>-00</w:t>
      </w:r>
      <w:r w:rsidR="009D5F96" w:rsidRPr="008633E1">
        <w:t>0</w:t>
      </w:r>
      <w:r w:rsidR="00B70688" w:rsidRPr="008633E1">
        <w:t>1</w:t>
      </w:r>
      <w:r w:rsidRPr="008633E1">
        <w:t xml:space="preserve"> was m</w:t>
      </w:r>
      <w:r w:rsidR="00B70688" w:rsidRPr="008633E1">
        <w:t>ailed by city staff on October 9, 2024</w:t>
      </w:r>
      <w:r w:rsidR="00B84DBF" w:rsidRPr="008633E1">
        <w:t>,</w:t>
      </w:r>
      <w:r w:rsidR="00B70688" w:rsidRPr="008633E1">
        <w:t xml:space="preserve"> containing</w:t>
      </w:r>
      <w:r w:rsidRPr="008633E1">
        <w:t xml:space="preserve"> the information required by this section</w:t>
      </w:r>
      <w:r w:rsidR="00B70688" w:rsidRPr="008633E1">
        <w:t xml:space="preserve"> (</w:t>
      </w:r>
      <w:r w:rsidR="00CE2FB6" w:rsidRPr="008633E1">
        <w:t>Exhibit E</w:t>
      </w:r>
      <w:r w:rsidR="009151F6" w:rsidRPr="008633E1">
        <w:t>)</w:t>
      </w:r>
      <w:r w:rsidRPr="008633E1">
        <w:t>.</w:t>
      </w:r>
      <w:r w:rsidRPr="00B70688">
        <w:t xml:space="preserve"> These standards are met.</w:t>
      </w:r>
    </w:p>
    <w:p w14:paraId="5652CD1B" w14:textId="2DCA96B5" w:rsidR="002B0E14" w:rsidRPr="00214404" w:rsidRDefault="002B0E14" w:rsidP="002B0E14">
      <w:pPr>
        <w:overflowPunct/>
        <w:textAlignment w:val="auto"/>
        <w:rPr>
          <w:rStyle w:val="Strong"/>
        </w:rPr>
      </w:pPr>
      <w:r w:rsidRPr="00214404">
        <w:rPr>
          <w:rStyle w:val="Strong"/>
        </w:rPr>
        <w:t>(4) Conduct of the Hearing—Type III. The person chairing the hearing must follow the order of proceedings set forth below. These procedures are intended to provide all interested persons a reasonable opportunity to participate in the hearing process and to provide for a full and impartial hearing on the application before the body. Questions concerning the propriety or the conduct of a hearing will be addressed to the chair with a request for a ruling. Rulings from the chair must, to the extent possible, carry out the stated intention of these procedures. A ruling given by the chair on such question may be modified or reversed by a majority of those members of the decision body present and eligible to vote on the application before the body. The procedures to be followed by the chair in the conduct of the hearing are as follows:</w:t>
      </w:r>
    </w:p>
    <w:p w14:paraId="4E9CECBA" w14:textId="6DC97AAA" w:rsidR="002B0E14" w:rsidRPr="00214404" w:rsidRDefault="002B0E14" w:rsidP="004401CF">
      <w:pPr>
        <w:overflowPunct/>
        <w:ind w:left="432"/>
        <w:textAlignment w:val="auto"/>
        <w:rPr>
          <w:rStyle w:val="Strong"/>
        </w:rPr>
      </w:pPr>
      <w:r w:rsidRPr="00214404">
        <w:rPr>
          <w:rStyle w:val="Strong"/>
        </w:rPr>
        <w:t>(a) At the commencement of the hearing, the person chairing the hearing must state to those in attendance all of the following information and instructions:</w:t>
      </w:r>
    </w:p>
    <w:p w14:paraId="29C1067C" w14:textId="364E56B6" w:rsidR="002B0E14" w:rsidRPr="00214404" w:rsidRDefault="002B0E14" w:rsidP="004401CF">
      <w:pPr>
        <w:overflowPunct/>
        <w:ind w:left="864"/>
        <w:textAlignment w:val="auto"/>
        <w:rPr>
          <w:rStyle w:val="Strong"/>
        </w:rPr>
      </w:pPr>
      <w:r w:rsidRPr="00214404">
        <w:rPr>
          <w:rStyle w:val="Strong"/>
        </w:rPr>
        <w:lastRenderedPageBreak/>
        <w:t>(</w:t>
      </w:r>
      <w:proofErr w:type="spellStart"/>
      <w:r w:rsidRPr="00214404">
        <w:rPr>
          <w:rStyle w:val="Strong"/>
        </w:rPr>
        <w:t>i</w:t>
      </w:r>
      <w:proofErr w:type="spellEnd"/>
      <w:r w:rsidRPr="00214404">
        <w:rPr>
          <w:rStyle w:val="Strong"/>
        </w:rPr>
        <w:t>) The applicable substantive criteria;</w:t>
      </w:r>
    </w:p>
    <w:p w14:paraId="61E4196A" w14:textId="6DFE4402" w:rsidR="002B0E14" w:rsidRPr="00214404" w:rsidRDefault="002B0E14" w:rsidP="004401CF">
      <w:pPr>
        <w:overflowPunct/>
        <w:ind w:left="864"/>
        <w:textAlignment w:val="auto"/>
        <w:rPr>
          <w:rStyle w:val="Strong"/>
        </w:rPr>
      </w:pPr>
      <w:r w:rsidRPr="00214404">
        <w:rPr>
          <w:rStyle w:val="Strong"/>
        </w:rPr>
        <w:t>(ii) That testimony, arguments and evidence must be directed toward the criteria described in paragraph (</w:t>
      </w:r>
      <w:proofErr w:type="spellStart"/>
      <w:r w:rsidRPr="00214404">
        <w:rPr>
          <w:rStyle w:val="Strong"/>
        </w:rPr>
        <w:t>i</w:t>
      </w:r>
      <w:proofErr w:type="spellEnd"/>
      <w:r w:rsidRPr="00214404">
        <w:rPr>
          <w:rStyle w:val="Strong"/>
        </w:rPr>
        <w:t>) of this subsection or other criteria in the plan or land use regulation which the person believes to apply to the decision;</w:t>
      </w:r>
    </w:p>
    <w:p w14:paraId="23E1FF47" w14:textId="55EEEA64" w:rsidR="002B0E14" w:rsidRPr="00214404" w:rsidRDefault="002B0E14" w:rsidP="004401CF">
      <w:pPr>
        <w:overflowPunct/>
        <w:ind w:left="864"/>
        <w:textAlignment w:val="auto"/>
        <w:rPr>
          <w:rStyle w:val="Strong"/>
        </w:rPr>
      </w:pPr>
      <w:r w:rsidRPr="00214404">
        <w:rPr>
          <w:rStyle w:val="Strong"/>
        </w:rPr>
        <w:t>(iii) That failure to raise an issue accompanied by statements or evidence sufficient to afford the decision maker and the parties an opportunity to respond to the issue precludes appeal to the State Land Use Board of Appeals based on that issue;</w:t>
      </w:r>
    </w:p>
    <w:p w14:paraId="35997C67" w14:textId="6F96AFA6" w:rsidR="002B0E14" w:rsidRPr="00214404" w:rsidRDefault="002B0E14" w:rsidP="004401CF">
      <w:pPr>
        <w:overflowPunct/>
        <w:ind w:left="864"/>
        <w:textAlignment w:val="auto"/>
        <w:rPr>
          <w:rStyle w:val="Strong"/>
        </w:rPr>
      </w:pPr>
      <w:proofErr w:type="gramStart"/>
      <w:r w:rsidRPr="00214404">
        <w:rPr>
          <w:rStyle w:val="Strong"/>
        </w:rPr>
        <w:t>(iv) At</w:t>
      </w:r>
      <w:proofErr w:type="gramEnd"/>
      <w:r w:rsidRPr="00214404">
        <w:rPr>
          <w:rStyle w:val="Strong"/>
        </w:rPr>
        <w:t xml:space="preserve"> the conclusion of the initial evidentiary hearing, the decision body must deliberate and make a decision based on the facts and arguments in the public record; and</w:t>
      </w:r>
    </w:p>
    <w:p w14:paraId="127808AF" w14:textId="42F2C09F" w:rsidR="002B0E14" w:rsidRPr="00214404" w:rsidRDefault="002B0E14" w:rsidP="004401CF">
      <w:pPr>
        <w:overflowPunct/>
        <w:ind w:left="864"/>
        <w:textAlignment w:val="auto"/>
        <w:rPr>
          <w:rStyle w:val="Strong"/>
        </w:rPr>
      </w:pPr>
      <w:r w:rsidRPr="00214404">
        <w:rPr>
          <w:rStyle w:val="Strong"/>
        </w:rPr>
        <w:t>(v) Any participant may ask the decision body for an opportunity to present additional relevant evidence or testimony that is within the scope of the hearing; if the decision body grants the request, it will schedule a date to continue the hearing as provided in TDC</w:t>
      </w:r>
      <w:hyperlink r:id="rId12" w:history="1">
        <w:r w:rsidRPr="00214404">
          <w:rPr>
            <w:rStyle w:val="Strong"/>
          </w:rPr>
          <w:t> 32.230</w:t>
        </w:r>
      </w:hyperlink>
      <w:r w:rsidRPr="00214404">
        <w:rPr>
          <w:rStyle w:val="Strong"/>
        </w:rPr>
        <w:t>(4)(e), or leave the record open for additional written evidence or testimony as provided TDC</w:t>
      </w:r>
      <w:hyperlink r:id="rId13" w:history="1">
        <w:r w:rsidRPr="00214404">
          <w:rPr>
            <w:rStyle w:val="Strong"/>
          </w:rPr>
          <w:t> 32.230</w:t>
        </w:r>
      </w:hyperlink>
      <w:r w:rsidRPr="00214404">
        <w:rPr>
          <w:rStyle w:val="Strong"/>
        </w:rPr>
        <w:t>(4)(f).</w:t>
      </w:r>
    </w:p>
    <w:p w14:paraId="57C04BC9" w14:textId="0FC6F205" w:rsidR="002B0E14" w:rsidRPr="00214404" w:rsidRDefault="002B0E14" w:rsidP="004401CF">
      <w:pPr>
        <w:overflowPunct/>
        <w:ind w:left="432"/>
        <w:textAlignment w:val="auto"/>
        <w:rPr>
          <w:rStyle w:val="Strong"/>
        </w:rPr>
      </w:pPr>
      <w:r w:rsidRPr="00214404">
        <w:rPr>
          <w:rStyle w:val="Strong"/>
        </w:rPr>
        <w:t>(b) The public is entitled to an impartial decision body as free from potential conflicts of interest and pre-hearing ex parte (outside the hearing) contacts as reasonably possible. Where questions related to ex parte contact are concerned, members of the decision body must follow the guidance for disclosure of ex parte contacts contained in ORS 227.180. Where a real conflict of interest arises, that member or members of the decision body must not participate in the hearing, except where state law provides otherwise. Where the appearance of a conflict of interest is likely, that member or members of the decision body must individually disclose their relationship to the applicant in the public hearing and state whether they are capable of rendering a fair and impartial decision. If they are unable to render a fair and impartial decision, they must be excused from the proceedings.</w:t>
      </w:r>
    </w:p>
    <w:p w14:paraId="31159501" w14:textId="16C41173" w:rsidR="002B0E14" w:rsidRPr="00214404" w:rsidRDefault="002B0E14" w:rsidP="004401CF">
      <w:pPr>
        <w:overflowPunct/>
        <w:ind w:left="432"/>
        <w:textAlignment w:val="auto"/>
        <w:rPr>
          <w:rStyle w:val="Strong"/>
        </w:rPr>
      </w:pPr>
      <w:r w:rsidRPr="00214404">
        <w:rPr>
          <w:rStyle w:val="Strong"/>
        </w:rPr>
        <w:t>(c) Presenting and receiving evidence.</w:t>
      </w:r>
    </w:p>
    <w:p w14:paraId="7DA17D83" w14:textId="60042557" w:rsidR="002B0E14" w:rsidRPr="00214404" w:rsidRDefault="002B0E14" w:rsidP="004401CF">
      <w:pPr>
        <w:overflowPunct/>
        <w:ind w:left="864"/>
        <w:textAlignment w:val="auto"/>
        <w:rPr>
          <w:rStyle w:val="Strong"/>
        </w:rPr>
      </w:pPr>
      <w:r w:rsidRPr="00214404">
        <w:rPr>
          <w:rStyle w:val="Strong"/>
        </w:rPr>
        <w:t>(</w:t>
      </w:r>
      <w:proofErr w:type="spellStart"/>
      <w:r w:rsidRPr="00214404">
        <w:rPr>
          <w:rStyle w:val="Strong"/>
        </w:rPr>
        <w:t>i</w:t>
      </w:r>
      <w:proofErr w:type="spellEnd"/>
      <w:r w:rsidRPr="00214404">
        <w:rPr>
          <w:rStyle w:val="Strong"/>
        </w:rPr>
        <w:t>) The decision body may set reasonable time limits for oral presentations and may limit or exclude cumulative, repetitious, irrelevant, or personally derogatory testimony or evidence;</w:t>
      </w:r>
    </w:p>
    <w:p w14:paraId="6D256952" w14:textId="1451DAAB" w:rsidR="002B0E14" w:rsidRPr="00214404" w:rsidRDefault="002B0E14" w:rsidP="004401CF">
      <w:pPr>
        <w:overflowPunct/>
        <w:ind w:left="864"/>
        <w:textAlignment w:val="auto"/>
        <w:rPr>
          <w:rStyle w:val="Strong"/>
        </w:rPr>
      </w:pPr>
      <w:r w:rsidRPr="00214404">
        <w:rPr>
          <w:rStyle w:val="Strong"/>
        </w:rPr>
        <w:t>(ii) No oral testimony will be accepted after the close of the public hearing. Written testimony may be received after the close of the public hearing only as provided by this section; and</w:t>
      </w:r>
    </w:p>
    <w:p w14:paraId="5848A432" w14:textId="7BC18405" w:rsidR="002B0E14" w:rsidRPr="00214404" w:rsidRDefault="002B0E14" w:rsidP="004401CF">
      <w:pPr>
        <w:overflowPunct/>
        <w:ind w:left="864"/>
        <w:textAlignment w:val="auto"/>
        <w:rPr>
          <w:rStyle w:val="Strong"/>
        </w:rPr>
      </w:pPr>
      <w:r w:rsidRPr="00214404">
        <w:rPr>
          <w:rStyle w:val="Strong"/>
        </w:rPr>
        <w:t>(iii) Members of the decision body may visit the property and the surrounding area, and may use information obtained during the site visit to support their decision, if the information relied upon is disclosed at the beginning of the hearing and an opportunity is provided to dispute the evidence.</w:t>
      </w:r>
    </w:p>
    <w:p w14:paraId="4483D533" w14:textId="0A9C67FE" w:rsidR="002B0E14" w:rsidRPr="00214404" w:rsidRDefault="002B0E14" w:rsidP="004401CF">
      <w:pPr>
        <w:overflowPunct/>
        <w:ind w:left="432"/>
        <w:textAlignment w:val="auto"/>
        <w:rPr>
          <w:rStyle w:val="Strong"/>
        </w:rPr>
      </w:pPr>
      <w:r w:rsidRPr="00214404">
        <w:rPr>
          <w:rStyle w:val="Strong"/>
        </w:rPr>
        <w:t>(d) The decision body, in making its decision, must consider only facts and arguments in the public hearing record; except that it may take notice of facts not in the hearing record (e.g., local, state, or federal regulations; previous City decisions; case law; staff reports). Upon announcing its intention to take notice of such facts in its deliberations, it must allow persons who previously participated in the hearing to request the hearing record be reopened, as necessary, to present evidence concerning the newly presented facts.</w:t>
      </w:r>
    </w:p>
    <w:p w14:paraId="06C4ADAB" w14:textId="64E4144B" w:rsidR="002B0E14" w:rsidRPr="00214404" w:rsidRDefault="002B0E14" w:rsidP="004401CF">
      <w:pPr>
        <w:overflowPunct/>
        <w:ind w:left="432"/>
        <w:textAlignment w:val="auto"/>
        <w:rPr>
          <w:rStyle w:val="Strong"/>
        </w:rPr>
      </w:pPr>
      <w:r w:rsidRPr="00214404">
        <w:rPr>
          <w:rStyle w:val="Strong"/>
        </w:rPr>
        <w:t xml:space="preserve">(e) If the decision body decides to continue the hearing, the hearing must be continued to a date that is at least seven days after the date of the first evidentiary hearing (e.g., next regularly scheduled meeting). An opportunity must be provided at the continued hearing for persons to present and respond to new written evidence and oral testimony. If new written evidence is submitted at the continued hearing, any person may request, before the conclusion of the hearing, that the record be left open for at least seven days, so that he or she can submit additional written evidence or arguments in response to the new written evidence. In the </w:t>
      </w:r>
      <w:r w:rsidRPr="00214404">
        <w:rPr>
          <w:rStyle w:val="Strong"/>
        </w:rPr>
        <w:lastRenderedPageBreak/>
        <w:t>interest of time, after the close of the hearing, the decision body may limit additional testimony to arguments and not accept additional evidence.</w:t>
      </w:r>
    </w:p>
    <w:p w14:paraId="418C23FA" w14:textId="431D2F08" w:rsidR="002B0E14" w:rsidRPr="00214404" w:rsidRDefault="002B0E14" w:rsidP="004401CF">
      <w:pPr>
        <w:overflowPunct/>
        <w:ind w:left="432"/>
        <w:textAlignment w:val="auto"/>
        <w:rPr>
          <w:rStyle w:val="Strong"/>
        </w:rPr>
      </w:pPr>
      <w:r w:rsidRPr="00214404">
        <w:rPr>
          <w:rStyle w:val="Strong"/>
        </w:rPr>
        <w:t>(f) If the decision body leaves the record open for additional written testimony, the record must be left open for at least seven days after the hearing. Any participant may ask the decision body in writing for an opportunity to respond to new evidence (i.e., information not disclosed during the public hearing) submitted when the record was left open. If such a request is filed, the decision body must reopen the record, as follows:</w:t>
      </w:r>
    </w:p>
    <w:p w14:paraId="7C2C0715" w14:textId="0BD3DFA0" w:rsidR="002B0E14" w:rsidRPr="00214404" w:rsidRDefault="002B0E14" w:rsidP="004401CF">
      <w:pPr>
        <w:overflowPunct/>
        <w:ind w:left="864"/>
        <w:textAlignment w:val="auto"/>
        <w:rPr>
          <w:rStyle w:val="Strong"/>
        </w:rPr>
      </w:pPr>
      <w:r w:rsidRPr="00214404">
        <w:rPr>
          <w:rStyle w:val="Strong"/>
        </w:rPr>
        <w:t>(</w:t>
      </w:r>
      <w:proofErr w:type="spellStart"/>
      <w:r w:rsidRPr="00214404">
        <w:rPr>
          <w:rStyle w:val="Strong"/>
        </w:rPr>
        <w:t>i</w:t>
      </w:r>
      <w:proofErr w:type="spellEnd"/>
      <w:r w:rsidRPr="00214404">
        <w:rPr>
          <w:rStyle w:val="Strong"/>
        </w:rPr>
        <w:t>) When the record is reopened to admit new evidence or arguments (testimony), any person may raise new issues that relate to that new evidence or testimony;</w:t>
      </w:r>
    </w:p>
    <w:p w14:paraId="0EE5A5E3" w14:textId="70ACA1D7" w:rsidR="002B0E14" w:rsidRPr="00214404" w:rsidRDefault="002B0E14" w:rsidP="004401CF">
      <w:pPr>
        <w:overflowPunct/>
        <w:ind w:left="864"/>
        <w:textAlignment w:val="auto"/>
        <w:rPr>
          <w:rStyle w:val="Strong"/>
        </w:rPr>
      </w:pPr>
      <w:r w:rsidRPr="00214404">
        <w:rPr>
          <w:rStyle w:val="Strong"/>
        </w:rPr>
        <w:t>(ii) An extension of the hearing or record granted pursuant to this section is subject to the limitations of TDC</w:t>
      </w:r>
      <w:hyperlink r:id="rId14" w:history="1">
        <w:r w:rsidRPr="00214404">
          <w:rPr>
            <w:rStyle w:val="Strong"/>
          </w:rPr>
          <w:t> 32.030</w:t>
        </w:r>
      </w:hyperlink>
      <w:r w:rsidRPr="00214404">
        <w:rPr>
          <w:rStyle w:val="Strong"/>
        </w:rPr>
        <w:t>, unless the applicant waives his or her right to a final decision being made within the required timeframe; and</w:t>
      </w:r>
    </w:p>
    <w:p w14:paraId="538B1D27" w14:textId="4C1F3E13" w:rsidR="006779B5" w:rsidRPr="00214404" w:rsidRDefault="002B0E14" w:rsidP="006779B5">
      <w:pPr>
        <w:overflowPunct/>
        <w:ind w:left="864"/>
        <w:textAlignment w:val="auto"/>
        <w:rPr>
          <w:rStyle w:val="Strong"/>
        </w:rPr>
      </w:pPr>
      <w:r w:rsidRPr="00214404">
        <w:rPr>
          <w:rStyle w:val="Strong"/>
        </w:rPr>
        <w:t>(iii) If requested by the applicant, the decision body must grant the applicant at least seven days after the record is closed to all other persons to submit final written arguments, but not evidence, provided the applicant may expressly waive this right.</w:t>
      </w:r>
    </w:p>
    <w:p w14:paraId="3F181800" w14:textId="77777777" w:rsidR="006779B5" w:rsidRPr="00214404" w:rsidRDefault="006779B5" w:rsidP="006779B5">
      <w:pPr>
        <w:overflowPunct/>
        <w:textAlignment w:val="auto"/>
        <w:rPr>
          <w:rFonts w:cs="Calibri"/>
          <w:b/>
          <w:color w:val="000000"/>
          <w:szCs w:val="22"/>
          <w:u w:val="single"/>
        </w:rPr>
      </w:pPr>
      <w:r w:rsidRPr="00214404">
        <w:rPr>
          <w:rFonts w:cs="Calibri"/>
          <w:b/>
          <w:color w:val="000000"/>
          <w:szCs w:val="22"/>
          <w:u w:val="single"/>
        </w:rPr>
        <w:t>Finding:</w:t>
      </w:r>
    </w:p>
    <w:p w14:paraId="659D4B8C" w14:textId="70427DE2" w:rsidR="006779B5" w:rsidRPr="00214404" w:rsidRDefault="006779B5" w:rsidP="006779B5">
      <w:pPr>
        <w:pStyle w:val="Staff"/>
        <w:rPr>
          <w:rStyle w:val="Strong"/>
          <w:b w:val="0"/>
          <w:bCs w:val="0"/>
        </w:rPr>
      </w:pPr>
      <w:r w:rsidRPr="004007CB">
        <w:t xml:space="preserve">The Tualatin Planning Commission will follow the hearing requirements set forth by this section in hearing </w:t>
      </w:r>
      <w:r w:rsidR="004007CB" w:rsidRPr="004007CB">
        <w:t>S</w:t>
      </w:r>
      <w:r w:rsidR="0080470F" w:rsidRPr="004007CB">
        <w:t>VAR 2</w:t>
      </w:r>
      <w:r w:rsidR="004007CB" w:rsidRPr="004007CB">
        <w:t>4</w:t>
      </w:r>
      <w:r w:rsidR="0080470F" w:rsidRPr="004007CB">
        <w:t>-000</w:t>
      </w:r>
      <w:r w:rsidR="004007CB" w:rsidRPr="004007CB">
        <w:t>1</w:t>
      </w:r>
      <w:r w:rsidRPr="004007CB">
        <w:t>. These standards will be met.</w:t>
      </w:r>
    </w:p>
    <w:p w14:paraId="78D99053" w14:textId="07FEAC1E" w:rsidR="002B0E14" w:rsidRPr="00214404" w:rsidRDefault="002B0E14" w:rsidP="002B0E14">
      <w:pPr>
        <w:overflowPunct/>
        <w:textAlignment w:val="auto"/>
        <w:rPr>
          <w:rStyle w:val="Strong"/>
        </w:rPr>
      </w:pPr>
      <w:r w:rsidRPr="00214404">
        <w:rPr>
          <w:rStyle w:val="Strong"/>
        </w:rPr>
        <w:t>(5) Notice of Adoption of a Type III Decision. Notice of Adoption must be provided to the property owner, applicant, and any person who provided testimony at the hearing or in writing. The Type III Notice of Adoption must contain all of the following information:</w:t>
      </w:r>
    </w:p>
    <w:p w14:paraId="288AFDE1" w14:textId="78DDFAA2" w:rsidR="002B0E14" w:rsidRPr="00214404" w:rsidRDefault="002B0E14" w:rsidP="004401CF">
      <w:pPr>
        <w:overflowPunct/>
        <w:ind w:left="432"/>
        <w:textAlignment w:val="auto"/>
        <w:rPr>
          <w:rStyle w:val="Strong"/>
        </w:rPr>
      </w:pPr>
      <w:r w:rsidRPr="00214404">
        <w:rPr>
          <w:rStyle w:val="Strong"/>
        </w:rPr>
        <w:t>(a) A description of the applicant's proposal and the City's decision on the proposal, which may be a summary, provided it references the specifics of the proposal and conditions of approval in the public record;</w:t>
      </w:r>
    </w:p>
    <w:p w14:paraId="161098E2" w14:textId="70E2BDB9" w:rsidR="002B0E14" w:rsidRPr="00214404" w:rsidRDefault="002B0E14" w:rsidP="004401CF">
      <w:pPr>
        <w:overflowPunct/>
        <w:ind w:left="432"/>
        <w:textAlignment w:val="auto"/>
        <w:rPr>
          <w:rStyle w:val="Strong"/>
        </w:rPr>
      </w:pPr>
      <w:r w:rsidRPr="00214404">
        <w:rPr>
          <w:rStyle w:val="Strong"/>
        </w:rPr>
        <w:t>(b) The address or other geographic description of the property proposed for development, including a map of the property in relation to the surrounding area;</w:t>
      </w:r>
    </w:p>
    <w:p w14:paraId="64289284" w14:textId="0B873C89" w:rsidR="002B0E14" w:rsidRPr="00214404" w:rsidRDefault="002B0E14" w:rsidP="004401CF">
      <w:pPr>
        <w:overflowPunct/>
        <w:ind w:left="432"/>
        <w:textAlignment w:val="auto"/>
        <w:rPr>
          <w:rStyle w:val="Strong"/>
        </w:rPr>
      </w:pPr>
      <w:r w:rsidRPr="00214404">
        <w:rPr>
          <w:rStyle w:val="Strong"/>
        </w:rPr>
        <w:t>(c) A statement that a copy of the decision and complete case file, including findings, conclusions, and conditions of approval, if any, is available for review and how copies can be obtained;</w:t>
      </w:r>
    </w:p>
    <w:p w14:paraId="5692B9C2" w14:textId="3A460B57" w:rsidR="002B0E14" w:rsidRPr="00214404" w:rsidRDefault="002B0E14" w:rsidP="004401CF">
      <w:pPr>
        <w:overflowPunct/>
        <w:ind w:left="432"/>
        <w:textAlignment w:val="auto"/>
        <w:rPr>
          <w:rStyle w:val="Strong"/>
        </w:rPr>
      </w:pPr>
      <w:r w:rsidRPr="00214404">
        <w:rPr>
          <w:rStyle w:val="Strong"/>
        </w:rPr>
        <w:t>(d) The date the decision becomes final, unless a request for appeal is submitted; and</w:t>
      </w:r>
    </w:p>
    <w:p w14:paraId="064924E9" w14:textId="3B4CB311" w:rsidR="002B0E14" w:rsidRPr="00214404" w:rsidRDefault="002B0E14" w:rsidP="004401CF">
      <w:pPr>
        <w:overflowPunct/>
        <w:ind w:left="432"/>
        <w:textAlignment w:val="auto"/>
        <w:rPr>
          <w:rStyle w:val="Strong"/>
        </w:rPr>
      </w:pPr>
      <w:r w:rsidRPr="00214404">
        <w:rPr>
          <w:rStyle w:val="Strong"/>
        </w:rPr>
        <w:t>(e) The notice must include an explanation of rights to appeal the decision to the City Council in accordance with TDC</w:t>
      </w:r>
      <w:hyperlink r:id="rId15" w:history="1">
        <w:r w:rsidRPr="00214404">
          <w:rPr>
            <w:rStyle w:val="Strong"/>
          </w:rPr>
          <w:t> 32.310</w:t>
        </w:r>
      </w:hyperlink>
      <w:r w:rsidRPr="00214404">
        <w:rPr>
          <w:rStyle w:val="Strong"/>
        </w:rPr>
        <w:t>.</w:t>
      </w:r>
    </w:p>
    <w:p w14:paraId="67E79D52" w14:textId="77777777" w:rsidR="00293A1C" w:rsidRPr="00214404" w:rsidRDefault="00293A1C" w:rsidP="00293A1C">
      <w:pPr>
        <w:overflowPunct/>
        <w:textAlignment w:val="auto"/>
        <w:rPr>
          <w:rFonts w:cs="Calibri"/>
          <w:b/>
          <w:color w:val="000000"/>
          <w:szCs w:val="22"/>
          <w:u w:val="single"/>
        </w:rPr>
      </w:pPr>
    </w:p>
    <w:p w14:paraId="3B8B3CBD" w14:textId="77777777" w:rsidR="00293A1C" w:rsidRPr="00214404" w:rsidRDefault="00293A1C" w:rsidP="00293A1C">
      <w:pPr>
        <w:overflowPunct/>
        <w:textAlignment w:val="auto"/>
        <w:rPr>
          <w:rFonts w:cs="Calibri"/>
          <w:b/>
          <w:color w:val="000000"/>
          <w:szCs w:val="22"/>
          <w:u w:val="single"/>
        </w:rPr>
      </w:pPr>
      <w:r w:rsidRPr="00214404">
        <w:rPr>
          <w:rFonts w:cs="Calibri"/>
          <w:b/>
          <w:color w:val="000000"/>
          <w:szCs w:val="22"/>
          <w:u w:val="single"/>
        </w:rPr>
        <w:t>Finding</w:t>
      </w:r>
      <w:r w:rsidRPr="0053387D">
        <w:rPr>
          <w:rFonts w:cs="Calibri"/>
          <w:b/>
          <w:color w:val="000000"/>
          <w:szCs w:val="22"/>
        </w:rPr>
        <w:t>:</w:t>
      </w:r>
    </w:p>
    <w:p w14:paraId="67A5F25A" w14:textId="15E8F775" w:rsidR="00293A1C" w:rsidRPr="00214404" w:rsidRDefault="006779B5" w:rsidP="00FA43E5">
      <w:pPr>
        <w:pStyle w:val="Staff"/>
      </w:pPr>
      <w:r w:rsidRPr="004007CB">
        <w:t>A final decision and any appeal will follow the requirements of this section. These standards will be met.</w:t>
      </w:r>
    </w:p>
    <w:p w14:paraId="184C9CC8" w14:textId="541E25E2" w:rsidR="00004EAD" w:rsidRPr="00B84DBF" w:rsidRDefault="00A7581E" w:rsidP="00B84DBF">
      <w:pPr>
        <w:pStyle w:val="Heading1"/>
        <w:shd w:val="clear" w:color="auto" w:fill="FFFFFF"/>
        <w:rPr>
          <w:rFonts w:ascii="Calibri" w:hAnsi="Calibri" w:cs="Calibri"/>
          <w:color w:val="000000"/>
          <w:sz w:val="24"/>
          <w:szCs w:val="24"/>
        </w:rPr>
      </w:pPr>
      <w:bookmarkStart w:id="8" w:name="_Toc56073804"/>
      <w:r w:rsidRPr="00214404">
        <w:rPr>
          <w:rFonts w:ascii="Calibri" w:hAnsi="Calibri" w:cs="Calibri"/>
          <w:color w:val="000000"/>
          <w:sz w:val="24"/>
          <w:szCs w:val="24"/>
        </w:rPr>
        <w:t>Chapter 3</w:t>
      </w:r>
      <w:r w:rsidR="00CC68ED" w:rsidRPr="00214404">
        <w:rPr>
          <w:rFonts w:ascii="Calibri" w:hAnsi="Calibri" w:cs="Calibri"/>
          <w:color w:val="000000"/>
          <w:sz w:val="24"/>
          <w:szCs w:val="24"/>
        </w:rPr>
        <w:t>3</w:t>
      </w:r>
      <w:r w:rsidRPr="00214404">
        <w:rPr>
          <w:rFonts w:ascii="Calibri" w:hAnsi="Calibri" w:cs="Calibri"/>
          <w:color w:val="000000"/>
          <w:sz w:val="24"/>
          <w:szCs w:val="24"/>
        </w:rPr>
        <w:t xml:space="preserve">: </w:t>
      </w:r>
      <w:r w:rsidR="00CC68ED" w:rsidRPr="00214404">
        <w:rPr>
          <w:rFonts w:ascii="Calibri" w:hAnsi="Calibri" w:cs="Calibri"/>
          <w:color w:val="000000"/>
          <w:sz w:val="24"/>
          <w:szCs w:val="24"/>
        </w:rPr>
        <w:t>App</w:t>
      </w:r>
      <w:r w:rsidR="00E865CA" w:rsidRPr="00214404">
        <w:rPr>
          <w:rFonts w:ascii="Calibri" w:hAnsi="Calibri" w:cs="Calibri"/>
          <w:color w:val="000000"/>
          <w:sz w:val="24"/>
          <w:szCs w:val="24"/>
        </w:rPr>
        <w:t>lications and Approval Criteria</w:t>
      </w:r>
      <w:bookmarkEnd w:id="8"/>
    </w:p>
    <w:p w14:paraId="11FBC938" w14:textId="34B8F977" w:rsidR="00004EAD" w:rsidRPr="00B84DBF" w:rsidRDefault="00004EAD" w:rsidP="00B84DBF">
      <w:pPr>
        <w:rPr>
          <w:rFonts w:cstheme="minorHAnsi"/>
          <w:b/>
          <w:color w:val="000000"/>
          <w:szCs w:val="22"/>
        </w:rPr>
      </w:pPr>
      <w:r w:rsidRPr="00B84DBF">
        <w:rPr>
          <w:rFonts w:cstheme="minorHAnsi"/>
          <w:b/>
          <w:color w:val="000000"/>
          <w:szCs w:val="22"/>
          <w:u w:val="single"/>
        </w:rPr>
        <w:t>Section 33.080 – Signs – Permits, Design Review, and Variances</w:t>
      </w:r>
      <w:r w:rsidRPr="00B84DBF">
        <w:rPr>
          <w:rFonts w:cstheme="minorHAnsi"/>
          <w:b/>
          <w:color w:val="000000"/>
          <w:szCs w:val="22"/>
        </w:rPr>
        <w:t xml:space="preserve">. </w:t>
      </w:r>
    </w:p>
    <w:p w14:paraId="7D4E428C" w14:textId="77777777" w:rsidR="00004EAD" w:rsidRPr="00B84DBF" w:rsidRDefault="00004EAD" w:rsidP="00B84DBF">
      <w:pPr>
        <w:pStyle w:val="List1"/>
        <w:spacing w:before="0" w:after="0"/>
        <w:rPr>
          <w:b/>
          <w:sz w:val="22"/>
          <w:szCs w:val="22"/>
        </w:rPr>
      </w:pPr>
      <w:r w:rsidRPr="00B84DBF">
        <w:rPr>
          <w:b/>
          <w:sz w:val="22"/>
          <w:szCs w:val="22"/>
        </w:rPr>
        <w:t>(1)</w:t>
      </w:r>
      <w:r w:rsidRPr="00B84DBF">
        <w:rPr>
          <w:b/>
          <w:sz w:val="22"/>
          <w:szCs w:val="22"/>
        </w:rPr>
        <w:tab/>
      </w:r>
      <w:r w:rsidRPr="00B84DBF">
        <w:rPr>
          <w:b/>
          <w:i/>
          <w:sz w:val="22"/>
          <w:szCs w:val="22"/>
        </w:rPr>
        <w:t>Purpose.</w:t>
      </w:r>
      <w:r w:rsidRPr="00B84DBF">
        <w:rPr>
          <w:b/>
          <w:sz w:val="22"/>
          <w:szCs w:val="22"/>
        </w:rPr>
        <w:t xml:space="preserve"> To implement the standards of TDC Chapter 38. Sign Variance review provides a public hearing process to review special situations that are not anticipated by the Sign Regulations in TDC Chapter 38, including TDC 38.100, 38.110, 38.120 and 38.140-38.240. </w:t>
      </w:r>
    </w:p>
    <w:p w14:paraId="3E5BEC98" w14:textId="4DCA8EF4" w:rsidR="00004EAD" w:rsidRPr="00B84DBF" w:rsidRDefault="00004EAD" w:rsidP="00B84DBF">
      <w:pPr>
        <w:pStyle w:val="List1"/>
        <w:spacing w:before="0" w:after="0"/>
        <w:rPr>
          <w:b/>
          <w:sz w:val="22"/>
          <w:szCs w:val="22"/>
        </w:rPr>
      </w:pPr>
      <w:r w:rsidRPr="00B84DBF">
        <w:rPr>
          <w:b/>
          <w:sz w:val="22"/>
          <w:szCs w:val="22"/>
        </w:rPr>
        <w:t>(2)</w:t>
      </w:r>
      <w:r w:rsidRPr="00B84DBF">
        <w:rPr>
          <w:b/>
          <w:sz w:val="22"/>
          <w:szCs w:val="22"/>
        </w:rPr>
        <w:tab/>
      </w:r>
      <w:r w:rsidRPr="00B84DBF">
        <w:rPr>
          <w:b/>
          <w:i/>
          <w:sz w:val="22"/>
          <w:szCs w:val="22"/>
        </w:rPr>
        <w:t>Applicability.</w:t>
      </w:r>
      <w:r w:rsidRPr="00B84DBF">
        <w:rPr>
          <w:b/>
          <w:sz w:val="22"/>
          <w:szCs w:val="22"/>
        </w:rPr>
        <w:t xml:space="preserve"> The requirements of this section apply to sign permits, sign design review and sign variances as required in accordance with TDC Chapter 38. </w:t>
      </w:r>
    </w:p>
    <w:p w14:paraId="1A62E08B" w14:textId="77777777" w:rsidR="00FF00AD" w:rsidRDefault="00FF00AD" w:rsidP="00B26CFC">
      <w:pPr>
        <w:rPr>
          <w:rFonts w:cstheme="minorHAnsi"/>
          <w:b/>
          <w:color w:val="000000"/>
          <w:highlight w:val="yellow"/>
          <w:u w:val="single"/>
        </w:rPr>
      </w:pPr>
    </w:p>
    <w:p w14:paraId="71D5FA1F" w14:textId="77777777" w:rsidR="003F1758" w:rsidRDefault="003F1758" w:rsidP="00B26CFC">
      <w:pPr>
        <w:rPr>
          <w:rFonts w:cstheme="minorHAnsi"/>
          <w:b/>
          <w:color w:val="000000"/>
          <w:highlight w:val="yellow"/>
          <w:u w:val="single"/>
        </w:rPr>
      </w:pPr>
    </w:p>
    <w:p w14:paraId="7B12D3BB" w14:textId="77777777" w:rsidR="003F1758" w:rsidRDefault="003F1758" w:rsidP="00B26CFC">
      <w:pPr>
        <w:rPr>
          <w:rFonts w:cstheme="minorHAnsi"/>
          <w:b/>
          <w:color w:val="000000"/>
          <w:highlight w:val="yellow"/>
          <w:u w:val="single"/>
        </w:rPr>
      </w:pPr>
    </w:p>
    <w:p w14:paraId="5DC3EB6A" w14:textId="77777777" w:rsidR="003F1758" w:rsidRDefault="003F1758" w:rsidP="00B26CFC">
      <w:pPr>
        <w:rPr>
          <w:rFonts w:cstheme="minorHAnsi"/>
          <w:b/>
          <w:color w:val="000000"/>
          <w:highlight w:val="yellow"/>
          <w:u w:val="single"/>
        </w:rPr>
      </w:pPr>
    </w:p>
    <w:p w14:paraId="3AC95BCE" w14:textId="26E296E7" w:rsidR="00B26CFC" w:rsidRPr="003F1758" w:rsidRDefault="00B26CFC" w:rsidP="00B26CFC">
      <w:pPr>
        <w:rPr>
          <w:rFonts w:cstheme="minorHAnsi"/>
          <w:b/>
          <w:i/>
          <w:color w:val="000000"/>
        </w:rPr>
      </w:pPr>
      <w:r w:rsidRPr="003F1758">
        <w:rPr>
          <w:rFonts w:cstheme="minorHAnsi"/>
          <w:b/>
          <w:color w:val="000000"/>
          <w:u w:val="single"/>
        </w:rPr>
        <w:lastRenderedPageBreak/>
        <w:t>Finding</w:t>
      </w:r>
      <w:r w:rsidRPr="003F1758">
        <w:rPr>
          <w:rFonts w:cstheme="minorHAnsi"/>
          <w:b/>
          <w:color w:val="000000"/>
        </w:rPr>
        <w:t>:</w:t>
      </w:r>
    </w:p>
    <w:p w14:paraId="6E55E728" w14:textId="0BE7F3D6" w:rsidR="00B26CFC" w:rsidRDefault="00816821" w:rsidP="00B26CFC">
      <w:pPr>
        <w:rPr>
          <w:rFonts w:cstheme="minorHAnsi"/>
          <w:i/>
          <w:color w:val="000000"/>
        </w:rPr>
      </w:pPr>
      <w:r w:rsidRPr="003F1758">
        <w:rPr>
          <w:rFonts w:cstheme="minorHAnsi"/>
          <w:i/>
          <w:color w:val="000000"/>
        </w:rPr>
        <w:t>A sign variance is requested</w:t>
      </w:r>
      <w:r w:rsidR="006648D8" w:rsidRPr="003F1758">
        <w:rPr>
          <w:rFonts w:cstheme="minorHAnsi"/>
          <w:i/>
          <w:color w:val="000000"/>
        </w:rPr>
        <w:t xml:space="preserve"> to the Central Commercial (CC) sign standard requirements of TDC 38.220. </w:t>
      </w:r>
      <w:r w:rsidR="00B26CFC" w:rsidRPr="003F1758">
        <w:rPr>
          <w:rFonts w:cstheme="minorHAnsi"/>
          <w:i/>
          <w:color w:val="000000"/>
        </w:rPr>
        <w:t xml:space="preserve">The proposed </w:t>
      </w:r>
      <w:r w:rsidR="00BC3A66" w:rsidRPr="003F1758">
        <w:rPr>
          <w:rFonts w:cstheme="minorHAnsi"/>
          <w:i/>
          <w:color w:val="000000"/>
        </w:rPr>
        <w:t>sign plan including the requested variances for sign height and area are included in the applicant’s submitted sign plan (</w:t>
      </w:r>
      <w:r w:rsidR="00CE2FB6" w:rsidRPr="003F1758">
        <w:rPr>
          <w:rFonts w:cstheme="minorHAnsi"/>
          <w:i/>
          <w:color w:val="000000"/>
        </w:rPr>
        <w:t>Exhibit B</w:t>
      </w:r>
      <w:r w:rsidR="00BC3A66" w:rsidRPr="003F1758">
        <w:rPr>
          <w:rFonts w:cstheme="minorHAnsi"/>
          <w:i/>
          <w:color w:val="000000"/>
        </w:rPr>
        <w:t xml:space="preserve">). </w:t>
      </w:r>
      <w:r w:rsidR="006648D8" w:rsidRPr="003F1758">
        <w:rPr>
          <w:rFonts w:cstheme="minorHAnsi"/>
          <w:i/>
          <w:color w:val="000000"/>
        </w:rPr>
        <w:t>The requested variances are outlined below:</w:t>
      </w:r>
    </w:p>
    <w:p w14:paraId="5C821A9A" w14:textId="4A542B31" w:rsidR="003F1758" w:rsidRDefault="003F1758" w:rsidP="00B26CFC">
      <w:pPr>
        <w:rPr>
          <w:rFonts w:cstheme="minorHAnsi"/>
          <w:i/>
          <w:color w:val="000000"/>
        </w:rPr>
      </w:pPr>
    </w:p>
    <w:p w14:paraId="7FE5498D" w14:textId="77777777" w:rsidR="003F1758" w:rsidRPr="00C016E7" w:rsidRDefault="003F1758" w:rsidP="003F1758">
      <w:pPr>
        <w:pStyle w:val="ListParagraph"/>
        <w:numPr>
          <w:ilvl w:val="0"/>
          <w:numId w:val="22"/>
        </w:numPr>
        <w:overflowPunct/>
        <w:autoSpaceDE/>
        <w:autoSpaceDN/>
        <w:adjustRightInd/>
        <w:spacing w:line="259" w:lineRule="auto"/>
        <w:textAlignment w:val="auto"/>
        <w:rPr>
          <w:b/>
        </w:rPr>
      </w:pPr>
      <w:r w:rsidRPr="00C016E7">
        <w:rPr>
          <w:b/>
        </w:rPr>
        <w:t>A variance to allow 10’- 4 5/8” height on the proposed Bass Pro Shops Formed Main ID Cabinet (Sign 1) on the southern elevation for a total sign area of 156.8 square feet.</w:t>
      </w:r>
    </w:p>
    <w:p w14:paraId="1A43AF45" w14:textId="77777777" w:rsidR="003F1758" w:rsidRPr="00C016E7" w:rsidRDefault="003F1758" w:rsidP="003F1758">
      <w:pPr>
        <w:pStyle w:val="ListParagraph"/>
        <w:numPr>
          <w:ilvl w:val="1"/>
          <w:numId w:val="31"/>
        </w:numPr>
        <w:overflowPunct/>
        <w:autoSpaceDE/>
        <w:autoSpaceDN/>
        <w:adjustRightInd/>
        <w:spacing w:line="259" w:lineRule="auto"/>
        <w:textAlignment w:val="auto"/>
        <w:rPr>
          <w:b/>
        </w:rPr>
      </w:pPr>
      <w:r w:rsidRPr="00C016E7">
        <w:t>The proposed Bass Pro Shop</w:t>
      </w:r>
      <w:r>
        <w:t>s Formed Main ID Cabinet (Sign 1</w:t>
      </w:r>
      <w:r w:rsidRPr="00C016E7">
        <w:t xml:space="preserve">) is on the southern elevation which is 70,300 square feet, therefore under the sign code a 150 square foot sign with a maximum height of 4 feet is allowed.  </w:t>
      </w:r>
    </w:p>
    <w:p w14:paraId="31A7A616" w14:textId="77777777" w:rsidR="003F1758" w:rsidRPr="00C016E7" w:rsidRDefault="003F1758" w:rsidP="003F1758">
      <w:pPr>
        <w:pStyle w:val="ListParagraph"/>
        <w:numPr>
          <w:ilvl w:val="1"/>
          <w:numId w:val="31"/>
        </w:numPr>
        <w:overflowPunct/>
        <w:autoSpaceDE/>
        <w:autoSpaceDN/>
        <w:adjustRightInd/>
        <w:spacing w:line="259" w:lineRule="auto"/>
        <w:textAlignment w:val="auto"/>
        <w:rPr>
          <w:b/>
        </w:rPr>
      </w:pPr>
      <w:r w:rsidRPr="00C016E7">
        <w:t xml:space="preserve">The applicant proposes a sign area of 156.8 square feet with a height of 10’ – 4 5/8”. The proposed area is 6.8 square feet or 4.5% over the code allowance, and the proposed  height is 6’ – 4 5/8” or 159.6% over the code allowance </w:t>
      </w:r>
    </w:p>
    <w:p w14:paraId="079B606E" w14:textId="77777777" w:rsidR="003F1758" w:rsidRPr="00C016E7" w:rsidRDefault="003F1758" w:rsidP="003F1758">
      <w:pPr>
        <w:pStyle w:val="ListParagraph"/>
        <w:numPr>
          <w:ilvl w:val="1"/>
          <w:numId w:val="31"/>
        </w:numPr>
        <w:overflowPunct/>
        <w:autoSpaceDE/>
        <w:autoSpaceDN/>
        <w:adjustRightInd/>
        <w:spacing w:line="259" w:lineRule="auto"/>
        <w:textAlignment w:val="auto"/>
        <w:rPr>
          <w:b/>
        </w:rPr>
      </w:pPr>
      <w:r w:rsidRPr="00C016E7">
        <w:t>A previous sign variance (SVAR</w:t>
      </w:r>
      <w:r>
        <w:t xml:space="preserve"> </w:t>
      </w:r>
      <w:r w:rsidRPr="00C016E7">
        <w:t>14-01) for the retailer approved a 264 square foot sign with a height of 8 feet.</w:t>
      </w:r>
    </w:p>
    <w:p w14:paraId="6ECF058B" w14:textId="77777777" w:rsidR="003F1758" w:rsidRPr="00C016E7" w:rsidRDefault="003F1758" w:rsidP="003F1758">
      <w:pPr>
        <w:pStyle w:val="ListParagraph"/>
        <w:numPr>
          <w:ilvl w:val="1"/>
          <w:numId w:val="31"/>
        </w:numPr>
        <w:overflowPunct/>
        <w:autoSpaceDE/>
        <w:autoSpaceDN/>
        <w:adjustRightInd/>
        <w:spacing w:line="259" w:lineRule="auto"/>
        <w:textAlignment w:val="auto"/>
        <w:rPr>
          <w:b/>
        </w:rPr>
      </w:pPr>
      <w:r w:rsidRPr="00C016E7">
        <w:t xml:space="preserve">The proposal is a reduction in square feet from the existing sign of 264 square feet, a 107.2 or 40.6% reduction in square footage is proposed, and a height increase of 2’ – 4 5/8” or 29.8% is proposed. </w:t>
      </w:r>
    </w:p>
    <w:p w14:paraId="17149E6F" w14:textId="77777777" w:rsidR="003F1758" w:rsidRDefault="003F1758" w:rsidP="003F1758">
      <w:pPr>
        <w:overflowPunct/>
        <w:autoSpaceDE/>
        <w:autoSpaceDN/>
        <w:adjustRightInd/>
        <w:spacing w:line="259" w:lineRule="auto"/>
        <w:textAlignment w:val="auto"/>
        <w:rPr>
          <w:b/>
        </w:rPr>
      </w:pPr>
    </w:p>
    <w:p w14:paraId="0D0EC266" w14:textId="77777777" w:rsidR="003F1758" w:rsidRPr="00C016E7" w:rsidRDefault="003F1758" w:rsidP="003F1758">
      <w:pPr>
        <w:overflowPunct/>
        <w:autoSpaceDE/>
        <w:autoSpaceDN/>
        <w:adjustRightInd/>
        <w:spacing w:line="259" w:lineRule="auto"/>
        <w:textAlignment w:val="auto"/>
        <w:rPr>
          <w:b/>
        </w:rPr>
      </w:pPr>
    </w:p>
    <w:p w14:paraId="0A446DC4" w14:textId="77777777" w:rsidR="003F1758" w:rsidRPr="00FF00AD" w:rsidRDefault="003F1758" w:rsidP="003F1758">
      <w:pPr>
        <w:pStyle w:val="ListParagraph"/>
        <w:rPr>
          <w:b/>
          <w:highlight w:val="yellow"/>
        </w:rPr>
      </w:pPr>
    </w:p>
    <w:p w14:paraId="7E33C035" w14:textId="77777777" w:rsidR="003F1758" w:rsidRPr="00C016E7" w:rsidRDefault="003F1758" w:rsidP="003F1758">
      <w:pPr>
        <w:pStyle w:val="ListParagraph"/>
        <w:numPr>
          <w:ilvl w:val="0"/>
          <w:numId w:val="22"/>
        </w:numPr>
        <w:overflowPunct/>
        <w:autoSpaceDE/>
        <w:autoSpaceDN/>
        <w:adjustRightInd/>
        <w:spacing w:line="259" w:lineRule="auto"/>
        <w:textAlignment w:val="auto"/>
        <w:rPr>
          <w:b/>
        </w:rPr>
      </w:pPr>
      <w:r w:rsidRPr="00C016E7">
        <w:rPr>
          <w:b/>
        </w:rPr>
        <w:t xml:space="preserve">A variance to allow 6’ – 1/8’’ height on the proposed Outdoor World Wall Cabinet (Sign 2) on the southern elevation for a total sign area of 198.4 square feet. </w:t>
      </w:r>
    </w:p>
    <w:p w14:paraId="2261A073" w14:textId="77777777" w:rsidR="003F1758" w:rsidRPr="00C016E7" w:rsidRDefault="003F1758" w:rsidP="003F1758">
      <w:pPr>
        <w:pStyle w:val="ListParagraph"/>
        <w:numPr>
          <w:ilvl w:val="1"/>
          <w:numId w:val="32"/>
        </w:numPr>
      </w:pPr>
      <w:r w:rsidRPr="00C016E7">
        <w:t xml:space="preserve">The proposed Outdoor World Wall Cabinet (Sign 2) is on the southern elevation which is 70,300 square feet, therefore under the sign code a 150 square foot sign with a maximum height of 4 feet is allowed.  </w:t>
      </w:r>
    </w:p>
    <w:p w14:paraId="16552489" w14:textId="77777777" w:rsidR="003F1758" w:rsidRPr="00C016E7" w:rsidRDefault="003F1758" w:rsidP="003F1758">
      <w:pPr>
        <w:pStyle w:val="ListParagraph"/>
        <w:numPr>
          <w:ilvl w:val="1"/>
          <w:numId w:val="32"/>
        </w:numPr>
        <w:overflowPunct/>
        <w:autoSpaceDE/>
        <w:autoSpaceDN/>
        <w:adjustRightInd/>
        <w:spacing w:line="259" w:lineRule="auto"/>
        <w:textAlignment w:val="auto"/>
      </w:pPr>
      <w:r w:rsidRPr="00C016E7">
        <w:t xml:space="preserve">The applicant proposed a sign area of 198.5 square feet with a height of 6’ – 1/8”. The proposed area is 48.5 square feet or 32.3% over the code allowance. The proposed height is 2’ – 1/8” or 52.1% over the code allowance. </w:t>
      </w:r>
    </w:p>
    <w:p w14:paraId="5B675D8E" w14:textId="77777777" w:rsidR="003F1758" w:rsidRPr="00C016E7" w:rsidRDefault="003F1758" w:rsidP="003F1758">
      <w:pPr>
        <w:rPr>
          <w:highlight w:val="yellow"/>
        </w:rPr>
      </w:pPr>
    </w:p>
    <w:p w14:paraId="277CFCDC" w14:textId="77777777" w:rsidR="003F1758" w:rsidRPr="00C016E7" w:rsidRDefault="003F1758" w:rsidP="003F1758">
      <w:pPr>
        <w:pStyle w:val="ListParagraph"/>
        <w:numPr>
          <w:ilvl w:val="0"/>
          <w:numId w:val="22"/>
        </w:numPr>
        <w:overflowPunct/>
        <w:autoSpaceDE/>
        <w:autoSpaceDN/>
        <w:adjustRightInd/>
        <w:spacing w:line="259" w:lineRule="auto"/>
        <w:textAlignment w:val="auto"/>
        <w:rPr>
          <w:b/>
        </w:rPr>
      </w:pPr>
      <w:r w:rsidRPr="00C016E7">
        <w:rPr>
          <w:b/>
        </w:rPr>
        <w:t xml:space="preserve">A variance to allow 10’ height on the proposed Bass Pro Shops Cabinet (Sign 3) on the eastern elevation for a total area of 150 square feet. </w:t>
      </w:r>
    </w:p>
    <w:p w14:paraId="00FD4976" w14:textId="77777777" w:rsidR="003F1758" w:rsidRPr="00C016E7" w:rsidRDefault="003F1758" w:rsidP="003F1758">
      <w:pPr>
        <w:pStyle w:val="ListParagraph"/>
        <w:numPr>
          <w:ilvl w:val="1"/>
          <w:numId w:val="35"/>
        </w:numPr>
      </w:pPr>
      <w:r w:rsidRPr="00C016E7">
        <w:t xml:space="preserve">The proposed Bass Pro Shops Cabinet (Sign 3) is on the eastern elevation which is 36,765 square feet, therefore under the sign code a 150 square foot sign with a maximum height of 4 feet is allowed. </w:t>
      </w:r>
    </w:p>
    <w:p w14:paraId="0FF7D690" w14:textId="77777777" w:rsidR="003F1758" w:rsidRPr="00C016E7" w:rsidRDefault="003F1758" w:rsidP="003F1758">
      <w:pPr>
        <w:pStyle w:val="ListParagraph"/>
        <w:numPr>
          <w:ilvl w:val="1"/>
          <w:numId w:val="35"/>
        </w:numPr>
      </w:pPr>
      <w:r w:rsidRPr="00C016E7">
        <w:t>The applicant proposes a sign height of 10’. The proposed the height is 6’ or 150% over the code allowance.</w:t>
      </w:r>
    </w:p>
    <w:p w14:paraId="31EF099D" w14:textId="77777777" w:rsidR="003F1758" w:rsidRPr="00C016E7" w:rsidRDefault="003F1758" w:rsidP="003F1758">
      <w:pPr>
        <w:pStyle w:val="ListParagraph"/>
        <w:numPr>
          <w:ilvl w:val="1"/>
          <w:numId w:val="35"/>
        </w:numPr>
        <w:overflowPunct/>
        <w:autoSpaceDE/>
        <w:autoSpaceDN/>
        <w:adjustRightInd/>
        <w:spacing w:line="259" w:lineRule="auto"/>
        <w:textAlignment w:val="auto"/>
      </w:pPr>
      <w:r w:rsidRPr="00C016E7">
        <w:t>A previous sign variance (SVAR14-01) for the retailer approved a 227 square foot sign with a height of 8 feet.</w:t>
      </w:r>
    </w:p>
    <w:p w14:paraId="3A508CF6" w14:textId="77777777" w:rsidR="003F1758" w:rsidRPr="0034191F" w:rsidRDefault="003F1758" w:rsidP="003F1758">
      <w:pPr>
        <w:pStyle w:val="ListParagraph"/>
        <w:numPr>
          <w:ilvl w:val="1"/>
          <w:numId w:val="36"/>
        </w:numPr>
        <w:overflowPunct/>
        <w:autoSpaceDE/>
        <w:autoSpaceDN/>
        <w:adjustRightInd/>
        <w:spacing w:line="259" w:lineRule="auto"/>
        <w:textAlignment w:val="auto"/>
      </w:pPr>
      <w:r w:rsidRPr="0034191F">
        <w:t xml:space="preserve">The proposal is a decrease in square feet from the existing sign of 77 square feet. The proposed height increase of 2’ or 25%. </w:t>
      </w:r>
    </w:p>
    <w:p w14:paraId="3F3C8F0C" w14:textId="77777777" w:rsidR="003F1758" w:rsidRPr="00FF00AD" w:rsidRDefault="003F1758" w:rsidP="003F1758">
      <w:pPr>
        <w:rPr>
          <w:rFonts w:cs="Calibri"/>
          <w:color w:val="000000"/>
          <w:highlight w:val="yellow"/>
        </w:rPr>
      </w:pPr>
    </w:p>
    <w:p w14:paraId="1148A112" w14:textId="77777777" w:rsidR="003F1758" w:rsidRPr="0034191F" w:rsidRDefault="003F1758" w:rsidP="003F1758">
      <w:pPr>
        <w:rPr>
          <w:rFonts w:cs="Calibri"/>
          <w:color w:val="000000"/>
        </w:rPr>
      </w:pPr>
      <w:r w:rsidRPr="0034191F">
        <w:rPr>
          <w:rFonts w:cs="Calibri"/>
          <w:color w:val="000000"/>
        </w:rPr>
        <w:lastRenderedPageBreak/>
        <w:t xml:space="preserve">The total area of the 2 signs proposed for the southern elevation of the building is 355.2 sf. The total area of the one sign proposed on the eastern elevation of the building is 150 sf. The total square footage of all proposed signs on the building is 505.2 sf. The current area total for the existing signs is </w:t>
      </w:r>
      <w:r>
        <w:rPr>
          <w:rFonts w:cs="Calibri"/>
          <w:color w:val="000000"/>
        </w:rPr>
        <w:t xml:space="preserve">658 sf. </w:t>
      </w:r>
    </w:p>
    <w:p w14:paraId="3CAD76C3" w14:textId="1A19A063" w:rsidR="00B26CFC" w:rsidRPr="00FC2739" w:rsidRDefault="00B26CFC" w:rsidP="00B84DBF">
      <w:pPr>
        <w:pStyle w:val="List1"/>
        <w:spacing w:before="0" w:after="0"/>
        <w:ind w:left="0" w:firstLine="0"/>
        <w:rPr>
          <w:b/>
          <w:sz w:val="22"/>
          <w:szCs w:val="22"/>
        </w:rPr>
      </w:pPr>
      <w:bookmarkStart w:id="9" w:name="_GoBack"/>
      <w:bookmarkEnd w:id="9"/>
    </w:p>
    <w:p w14:paraId="6790673F" w14:textId="77777777" w:rsidR="00004EAD" w:rsidRPr="00FC2739" w:rsidRDefault="00004EAD" w:rsidP="00B84DBF">
      <w:pPr>
        <w:pStyle w:val="List1"/>
        <w:spacing w:before="0" w:after="0"/>
        <w:rPr>
          <w:b/>
          <w:sz w:val="22"/>
          <w:szCs w:val="22"/>
        </w:rPr>
      </w:pPr>
      <w:r w:rsidRPr="00FC2739">
        <w:rPr>
          <w:b/>
          <w:sz w:val="22"/>
          <w:szCs w:val="22"/>
        </w:rPr>
        <w:t>(3)</w:t>
      </w:r>
      <w:r w:rsidRPr="00FC2739">
        <w:rPr>
          <w:b/>
          <w:sz w:val="22"/>
          <w:szCs w:val="22"/>
        </w:rPr>
        <w:tab/>
      </w:r>
      <w:r w:rsidRPr="00FC2739">
        <w:rPr>
          <w:b/>
          <w:i/>
          <w:sz w:val="22"/>
          <w:szCs w:val="22"/>
        </w:rPr>
        <w:t>Procedure Type.</w:t>
      </w:r>
      <w:r w:rsidRPr="00FC2739">
        <w:rPr>
          <w:b/>
          <w:sz w:val="22"/>
          <w:szCs w:val="22"/>
        </w:rPr>
        <w:t xml:space="preserve"> Sign permits, sign design review and variances are processed in accordance with the procedures in TDC Chapter 32 as follows: </w:t>
      </w:r>
    </w:p>
    <w:p w14:paraId="29D5C889" w14:textId="77777777" w:rsidR="00004EAD" w:rsidRPr="00FC2739" w:rsidRDefault="00004EAD" w:rsidP="00B84DBF">
      <w:pPr>
        <w:pStyle w:val="List2"/>
        <w:rPr>
          <w:b/>
          <w:szCs w:val="22"/>
        </w:rPr>
      </w:pPr>
      <w:r w:rsidRPr="00FC2739">
        <w:rPr>
          <w:b/>
          <w:szCs w:val="22"/>
        </w:rPr>
        <w:t>(a)</w:t>
      </w:r>
      <w:r w:rsidRPr="00FC2739">
        <w:rPr>
          <w:b/>
          <w:szCs w:val="22"/>
        </w:rPr>
        <w:tab/>
        <w:t xml:space="preserve">Sign Permits are subject to Type I review. </w:t>
      </w:r>
    </w:p>
    <w:p w14:paraId="097AF1C9" w14:textId="77777777" w:rsidR="00004EAD" w:rsidRPr="00FC2739" w:rsidRDefault="00004EAD" w:rsidP="00B84DBF">
      <w:pPr>
        <w:pStyle w:val="List2"/>
        <w:rPr>
          <w:b/>
          <w:szCs w:val="22"/>
        </w:rPr>
      </w:pPr>
      <w:r w:rsidRPr="00FC2739">
        <w:rPr>
          <w:b/>
          <w:szCs w:val="22"/>
        </w:rPr>
        <w:t>(b)</w:t>
      </w:r>
      <w:r w:rsidRPr="00FC2739">
        <w:rPr>
          <w:b/>
          <w:szCs w:val="22"/>
        </w:rPr>
        <w:tab/>
        <w:t xml:space="preserve">Sign Design Reviews are subject to Type I review. </w:t>
      </w:r>
    </w:p>
    <w:p w14:paraId="4C9A6078" w14:textId="77777777" w:rsidR="00004EAD" w:rsidRPr="00FC2739" w:rsidRDefault="00004EAD" w:rsidP="00B84DBF">
      <w:pPr>
        <w:pStyle w:val="List2"/>
        <w:rPr>
          <w:b/>
          <w:szCs w:val="22"/>
        </w:rPr>
      </w:pPr>
      <w:r w:rsidRPr="00FC2739">
        <w:rPr>
          <w:b/>
          <w:szCs w:val="22"/>
        </w:rPr>
        <w:t>(c)</w:t>
      </w:r>
      <w:r w:rsidRPr="00FC2739">
        <w:rPr>
          <w:b/>
          <w:szCs w:val="22"/>
        </w:rPr>
        <w:tab/>
        <w:t xml:space="preserve">Sign Variances are subject to Type III review. </w:t>
      </w:r>
    </w:p>
    <w:p w14:paraId="6C8CCC2C" w14:textId="7BCBBA52" w:rsidR="00B26CFC" w:rsidRDefault="00004EAD" w:rsidP="00B84DBF">
      <w:pPr>
        <w:pStyle w:val="List1"/>
        <w:spacing w:before="0" w:after="0"/>
        <w:rPr>
          <w:b/>
          <w:sz w:val="22"/>
          <w:szCs w:val="22"/>
        </w:rPr>
      </w:pPr>
      <w:r w:rsidRPr="00FC2739">
        <w:rPr>
          <w:b/>
          <w:sz w:val="22"/>
          <w:szCs w:val="22"/>
        </w:rPr>
        <w:t>(4)</w:t>
      </w:r>
      <w:r w:rsidRPr="00FC2739">
        <w:rPr>
          <w:b/>
          <w:sz w:val="22"/>
          <w:szCs w:val="22"/>
        </w:rPr>
        <w:tab/>
      </w:r>
      <w:r w:rsidRPr="00FC2739">
        <w:rPr>
          <w:b/>
          <w:i/>
          <w:sz w:val="22"/>
          <w:szCs w:val="22"/>
        </w:rPr>
        <w:t>Specific Submittal Requirements.</w:t>
      </w:r>
      <w:r w:rsidRPr="00FC2739">
        <w:rPr>
          <w:b/>
          <w:sz w:val="22"/>
          <w:szCs w:val="22"/>
        </w:rPr>
        <w:t xml:space="preserve"> In addition to the general submittal requirements in TDC 32.140 (Application Submittal), the applicant must submit the information required by TDC</w:t>
      </w:r>
      <w:r w:rsidR="006648D8">
        <w:rPr>
          <w:b/>
          <w:sz w:val="22"/>
          <w:szCs w:val="22"/>
        </w:rPr>
        <w:t xml:space="preserve"> 38.070 (Sign Permit Process). </w:t>
      </w:r>
    </w:p>
    <w:p w14:paraId="51B7C3DD" w14:textId="77777777" w:rsidR="006648D8" w:rsidRPr="006648D8" w:rsidRDefault="006648D8" w:rsidP="008771C1">
      <w:pPr>
        <w:pStyle w:val="List1"/>
        <w:spacing w:before="0" w:after="0"/>
        <w:rPr>
          <w:b/>
          <w:sz w:val="22"/>
          <w:szCs w:val="22"/>
        </w:rPr>
      </w:pPr>
    </w:p>
    <w:p w14:paraId="3971BA88" w14:textId="77777777" w:rsidR="00112655" w:rsidRPr="00112655" w:rsidRDefault="00B26CFC" w:rsidP="008771C1">
      <w:pPr>
        <w:pStyle w:val="List1"/>
        <w:spacing w:before="0" w:after="0"/>
        <w:rPr>
          <w:b/>
          <w:sz w:val="22"/>
          <w:szCs w:val="22"/>
          <w:u w:val="single"/>
        </w:rPr>
      </w:pPr>
      <w:r w:rsidRPr="00112655">
        <w:rPr>
          <w:b/>
          <w:sz w:val="22"/>
          <w:szCs w:val="22"/>
          <w:u w:val="single"/>
        </w:rPr>
        <w:t>Finding</w:t>
      </w:r>
      <w:r w:rsidRPr="0053387D">
        <w:rPr>
          <w:b/>
          <w:sz w:val="22"/>
          <w:szCs w:val="22"/>
        </w:rPr>
        <w:t>:</w:t>
      </w:r>
    </w:p>
    <w:p w14:paraId="025D7B66" w14:textId="7B769719" w:rsidR="00112655" w:rsidRPr="00112655" w:rsidRDefault="00112655" w:rsidP="00112655">
      <w:pPr>
        <w:pStyle w:val="List1"/>
        <w:spacing w:before="0" w:after="0"/>
        <w:ind w:left="0" w:firstLine="0"/>
        <w:rPr>
          <w:b/>
          <w:i/>
          <w:sz w:val="22"/>
          <w:szCs w:val="22"/>
          <w:u w:val="single"/>
        </w:rPr>
      </w:pPr>
      <w:r w:rsidRPr="00112655">
        <w:rPr>
          <w:i/>
          <w:sz w:val="22"/>
          <w:szCs w:val="22"/>
        </w:rPr>
        <w:t xml:space="preserve">The subject proposal is a </w:t>
      </w:r>
      <w:r w:rsidRPr="00112655">
        <w:rPr>
          <w:rFonts w:cstheme="minorHAnsi"/>
          <w:i/>
          <w:sz w:val="22"/>
          <w:szCs w:val="22"/>
        </w:rPr>
        <w:t>Type III land use case, subject to a quasi-judicial hearing before the Tualatin Planning Commission.</w:t>
      </w:r>
    </w:p>
    <w:p w14:paraId="3FC1D8E9" w14:textId="77777777" w:rsidR="00B26CFC" w:rsidRPr="00B26CFC" w:rsidRDefault="00B26CFC" w:rsidP="00697BAC">
      <w:pPr>
        <w:pStyle w:val="List1"/>
        <w:spacing w:before="0" w:after="0"/>
        <w:rPr>
          <w:b/>
        </w:rPr>
      </w:pPr>
    </w:p>
    <w:p w14:paraId="47DEAB2B" w14:textId="7F21FC21" w:rsidR="00004EAD" w:rsidRPr="00FC2739" w:rsidRDefault="00004EAD" w:rsidP="00697BAC">
      <w:pPr>
        <w:pStyle w:val="List1"/>
        <w:spacing w:before="0" w:after="0"/>
        <w:rPr>
          <w:b/>
          <w:i/>
          <w:sz w:val="22"/>
          <w:szCs w:val="22"/>
        </w:rPr>
      </w:pPr>
      <w:r w:rsidRPr="00FC2739">
        <w:rPr>
          <w:b/>
          <w:sz w:val="22"/>
          <w:szCs w:val="22"/>
        </w:rPr>
        <w:t>(5)</w:t>
      </w:r>
      <w:r w:rsidRPr="00FC2739">
        <w:rPr>
          <w:b/>
          <w:sz w:val="22"/>
          <w:szCs w:val="22"/>
        </w:rPr>
        <w:tab/>
      </w:r>
      <w:r w:rsidRPr="00FC2739">
        <w:rPr>
          <w:b/>
          <w:i/>
          <w:sz w:val="22"/>
          <w:szCs w:val="22"/>
        </w:rPr>
        <w:t>Approval Criteria.</w:t>
      </w:r>
    </w:p>
    <w:p w14:paraId="55D26E4E" w14:textId="5186C0DD" w:rsidR="00B26CFC" w:rsidRPr="00FC2739" w:rsidRDefault="00B26CFC" w:rsidP="00697BAC">
      <w:pPr>
        <w:pStyle w:val="List1"/>
        <w:spacing w:before="0" w:after="0"/>
        <w:rPr>
          <w:b/>
          <w:sz w:val="22"/>
          <w:szCs w:val="22"/>
        </w:rPr>
      </w:pPr>
      <w:r w:rsidRPr="00FC2739">
        <w:rPr>
          <w:b/>
          <w:sz w:val="22"/>
          <w:szCs w:val="22"/>
        </w:rPr>
        <w:t>[…]</w:t>
      </w:r>
    </w:p>
    <w:p w14:paraId="7AEB075C" w14:textId="57F1C2B5" w:rsidR="00004EAD" w:rsidRPr="00FC2739" w:rsidRDefault="00B26CFC" w:rsidP="00697BAC">
      <w:pPr>
        <w:pStyle w:val="List2"/>
        <w:rPr>
          <w:b/>
          <w:szCs w:val="22"/>
        </w:rPr>
      </w:pPr>
      <w:r w:rsidRPr="00FC2739">
        <w:rPr>
          <w:b/>
          <w:szCs w:val="22"/>
        </w:rPr>
        <w:t xml:space="preserve"> </w:t>
      </w:r>
      <w:r w:rsidR="00004EAD" w:rsidRPr="00FC2739">
        <w:rPr>
          <w:b/>
          <w:szCs w:val="22"/>
        </w:rPr>
        <w:t>(c)</w:t>
      </w:r>
      <w:r w:rsidR="00004EAD" w:rsidRPr="00FC2739">
        <w:rPr>
          <w:b/>
          <w:szCs w:val="22"/>
        </w:rPr>
        <w:tab/>
        <w:t xml:space="preserve">Sign Variances. All six of the following criteria must be met before a variance can be granted: </w:t>
      </w:r>
    </w:p>
    <w:p w14:paraId="25864DA8" w14:textId="7AEB726B" w:rsidR="00004EAD" w:rsidRPr="00FC2739" w:rsidRDefault="00004EAD" w:rsidP="00697BAC">
      <w:pPr>
        <w:pStyle w:val="List3"/>
        <w:rPr>
          <w:b/>
          <w:szCs w:val="22"/>
        </w:rPr>
      </w:pPr>
      <w:r w:rsidRPr="00FC2739">
        <w:rPr>
          <w:b/>
          <w:szCs w:val="22"/>
        </w:rPr>
        <w:t>(</w:t>
      </w:r>
      <w:proofErr w:type="spellStart"/>
      <w:r w:rsidRPr="00FC2739">
        <w:rPr>
          <w:b/>
          <w:szCs w:val="22"/>
        </w:rPr>
        <w:t>i</w:t>
      </w:r>
      <w:proofErr w:type="spellEnd"/>
      <w:r w:rsidRPr="00FC2739">
        <w:rPr>
          <w:b/>
          <w:szCs w:val="22"/>
        </w:rPr>
        <w:t>)</w:t>
      </w:r>
      <w:r w:rsidRPr="00FC2739">
        <w:rPr>
          <w:b/>
          <w:szCs w:val="22"/>
        </w:rPr>
        <w:tab/>
        <w:t xml:space="preserve">A hardship is created by exceptional or extraordinary conditions applying to the property that do not apply generally to other properties in the same zone, and such conditions are a result of lot size or shape or topography over which the applicant or owner has no control; </w:t>
      </w:r>
    </w:p>
    <w:p w14:paraId="0AF7D319" w14:textId="1BC7F981" w:rsidR="00B26CFC" w:rsidRPr="00B26CFC" w:rsidRDefault="00B26CFC" w:rsidP="00B26CFC">
      <w:pPr>
        <w:pStyle w:val="List3"/>
        <w:ind w:left="0" w:firstLine="0"/>
        <w:rPr>
          <w:b/>
          <w:u w:val="single"/>
        </w:rPr>
      </w:pPr>
    </w:p>
    <w:p w14:paraId="09E9F0D8" w14:textId="6F290345" w:rsidR="009E3611" w:rsidRDefault="00B26CFC" w:rsidP="00297C4E">
      <w:pPr>
        <w:pStyle w:val="List3"/>
        <w:ind w:left="0" w:firstLine="0"/>
        <w:rPr>
          <w:b/>
        </w:rPr>
      </w:pPr>
      <w:r w:rsidRPr="00386E9D">
        <w:rPr>
          <w:b/>
          <w:u w:val="single"/>
        </w:rPr>
        <w:t>Finding</w:t>
      </w:r>
      <w:r w:rsidRPr="00386E9D">
        <w:rPr>
          <w:b/>
        </w:rPr>
        <w:t>:</w:t>
      </w:r>
    </w:p>
    <w:p w14:paraId="47412797" w14:textId="48B6C0B0" w:rsidR="009E3611" w:rsidRPr="00D16CB2" w:rsidRDefault="009E3611" w:rsidP="00B078F7">
      <w:pPr>
        <w:pStyle w:val="List3"/>
        <w:ind w:left="0" w:firstLine="0"/>
        <w:rPr>
          <w:i/>
        </w:rPr>
      </w:pPr>
      <w:r w:rsidRPr="008633E1">
        <w:rPr>
          <w:i/>
        </w:rPr>
        <w:t>The applicant’s narrative (</w:t>
      </w:r>
      <w:r w:rsidR="0088054C" w:rsidRPr="008633E1">
        <w:rPr>
          <w:i/>
        </w:rPr>
        <w:t>Exhibit A</w:t>
      </w:r>
      <w:r w:rsidRPr="008633E1">
        <w:rPr>
          <w:i/>
        </w:rPr>
        <w:t xml:space="preserve">) </w:t>
      </w:r>
      <w:r w:rsidR="001C5406" w:rsidRPr="008633E1">
        <w:rPr>
          <w:i/>
        </w:rPr>
        <w:t>noted</w:t>
      </w:r>
      <w:r w:rsidRPr="008633E1">
        <w:rPr>
          <w:i/>
        </w:rPr>
        <w:t xml:space="preserve"> the</w:t>
      </w:r>
      <w:r w:rsidRPr="009E3611">
        <w:rPr>
          <w:i/>
        </w:rPr>
        <w:t xml:space="preserve"> </w:t>
      </w:r>
      <w:r w:rsidR="008771C1">
        <w:rPr>
          <w:i/>
        </w:rPr>
        <w:t xml:space="preserve">subject </w:t>
      </w:r>
      <w:r>
        <w:rPr>
          <w:i/>
        </w:rPr>
        <w:t>site</w:t>
      </w:r>
      <w:r w:rsidRPr="009E3611">
        <w:rPr>
          <w:i/>
        </w:rPr>
        <w:t xml:space="preserve"> is located within a required master plan area.</w:t>
      </w:r>
      <w:r w:rsidR="00370114">
        <w:rPr>
          <w:i/>
        </w:rPr>
        <w:t xml:space="preserve"> The Nyberg Rivers shopping mall was reviewed and approved under Architectural Review 13-07. </w:t>
      </w:r>
      <w:r w:rsidRPr="009E3611">
        <w:rPr>
          <w:i/>
        </w:rPr>
        <w:t>The applicant stated that based on the master plan area</w:t>
      </w:r>
      <w:r w:rsidR="00D16CB2">
        <w:rPr>
          <w:i/>
        </w:rPr>
        <w:t>,</w:t>
      </w:r>
      <w:r w:rsidRPr="009E3611">
        <w:rPr>
          <w:i/>
        </w:rPr>
        <w:t xml:space="preserve"> the property was subject to extensive design review proceedings </w:t>
      </w:r>
      <w:r w:rsidR="00D16CB2">
        <w:rPr>
          <w:i/>
        </w:rPr>
        <w:t>in comparison</w:t>
      </w:r>
      <w:r w:rsidR="00B078F7">
        <w:rPr>
          <w:i/>
        </w:rPr>
        <w:t xml:space="preserve"> to other properties in the Central Commercial (CC) </w:t>
      </w:r>
      <w:r w:rsidR="00D16CB2">
        <w:rPr>
          <w:i/>
        </w:rPr>
        <w:t>and Commercial Office (CO) Planning Districts</w:t>
      </w:r>
      <w:r w:rsidR="00B078F7">
        <w:rPr>
          <w:i/>
        </w:rPr>
        <w:t xml:space="preserve"> located outside</w:t>
      </w:r>
      <w:r w:rsidR="008771C1">
        <w:rPr>
          <w:i/>
        </w:rPr>
        <w:t xml:space="preserve"> of the subject site</w:t>
      </w:r>
      <w:r w:rsidR="00D16CB2">
        <w:rPr>
          <w:i/>
        </w:rPr>
        <w:t xml:space="preserve">. The applicant stated </w:t>
      </w:r>
      <w:r w:rsidR="00B078F7">
        <w:rPr>
          <w:i/>
        </w:rPr>
        <w:t>the master plan and Architectural Review Board (ARB) requirements created significant alterations to the store’s standard design. The changes resulted i</w:t>
      </w:r>
      <w:r w:rsidR="00B078F7" w:rsidRPr="00B078F7">
        <w:rPr>
          <w:rFonts w:asciiTheme="minorHAnsi" w:hAnsiTheme="minorHAnsi" w:cstheme="minorHAnsi"/>
          <w:i/>
          <w:szCs w:val="22"/>
        </w:rPr>
        <w:t xml:space="preserve">n </w:t>
      </w:r>
      <w:r w:rsidRPr="009E3611">
        <w:rPr>
          <w:rFonts w:asciiTheme="minorHAnsi" w:hAnsiTheme="minorHAnsi" w:cstheme="minorHAnsi"/>
          <w:i/>
          <w:szCs w:val="22"/>
        </w:rPr>
        <w:t>unique façade features that align with the proposed sign package, distinguishing the store from others in the area.</w:t>
      </w:r>
      <w:r w:rsidR="00067FBD">
        <w:rPr>
          <w:rFonts w:asciiTheme="minorHAnsi" w:hAnsiTheme="minorHAnsi" w:cstheme="minorHAnsi"/>
          <w:i/>
          <w:szCs w:val="22"/>
        </w:rPr>
        <w:t xml:space="preserve"> </w:t>
      </w:r>
      <w:r w:rsidR="00067FBD">
        <w:rPr>
          <w:rFonts w:asciiTheme="minorHAnsi" w:hAnsiTheme="minorHAnsi" w:cstheme="minorHAnsi"/>
          <w:i/>
          <w:color w:val="000000" w:themeColor="text1"/>
          <w:szCs w:val="22"/>
        </w:rPr>
        <w:t>The narrative stated the sign standards of the Central Commercial (CC) Planning District prevent adequate visibility and readability from major arterials due to the sign size restrictions. The applicant suggested the restrictive sign sizing would not match the scale of the existing approved façade.</w:t>
      </w:r>
    </w:p>
    <w:p w14:paraId="6A3D383B" w14:textId="03FA8C0A" w:rsidR="00B078F7" w:rsidRDefault="00B078F7" w:rsidP="00B078F7">
      <w:pPr>
        <w:pStyle w:val="List3"/>
        <w:ind w:left="0" w:firstLine="0"/>
        <w:rPr>
          <w:rFonts w:asciiTheme="minorHAnsi" w:hAnsiTheme="minorHAnsi" w:cstheme="minorHAnsi"/>
          <w:i/>
          <w:szCs w:val="22"/>
        </w:rPr>
      </w:pPr>
    </w:p>
    <w:p w14:paraId="72E1F476" w14:textId="70F3CBA2" w:rsidR="00B26CFC" w:rsidRDefault="00B078F7" w:rsidP="00067FBD">
      <w:pPr>
        <w:pStyle w:val="List3"/>
        <w:ind w:left="0" w:firstLine="0"/>
        <w:rPr>
          <w:rFonts w:asciiTheme="minorHAnsi" w:hAnsiTheme="minorHAnsi" w:cstheme="minorHAnsi"/>
          <w:i/>
          <w:color w:val="000000" w:themeColor="text1"/>
          <w:szCs w:val="22"/>
        </w:rPr>
      </w:pPr>
      <w:r>
        <w:rPr>
          <w:rFonts w:asciiTheme="minorHAnsi" w:hAnsiTheme="minorHAnsi" w:cstheme="minorHAnsi"/>
          <w:i/>
          <w:szCs w:val="22"/>
        </w:rPr>
        <w:t>The narrative</w:t>
      </w:r>
      <w:r w:rsidRPr="00067FBD">
        <w:rPr>
          <w:rFonts w:asciiTheme="minorHAnsi" w:hAnsiTheme="minorHAnsi" w:cstheme="minorHAnsi"/>
          <w:i/>
          <w:szCs w:val="22"/>
        </w:rPr>
        <w:t xml:space="preserve"> cited location-specific issues as a hardship</w:t>
      </w:r>
      <w:r>
        <w:rPr>
          <w:rFonts w:asciiTheme="minorHAnsi" w:hAnsiTheme="minorHAnsi" w:cstheme="minorHAnsi"/>
          <w:i/>
          <w:szCs w:val="22"/>
        </w:rPr>
        <w:t>. The applicant wrote that the Cabela’s/Bass Pro Shops locati</w:t>
      </w:r>
      <w:r w:rsidRPr="00B078F7">
        <w:rPr>
          <w:rFonts w:cs="Calibri"/>
          <w:i/>
          <w:szCs w:val="22"/>
        </w:rPr>
        <w:t xml:space="preserve">on is </w:t>
      </w:r>
      <w:r w:rsidR="009E3611" w:rsidRPr="009E3611">
        <w:rPr>
          <w:rFonts w:cs="Calibri"/>
          <w:i/>
          <w:szCs w:val="22"/>
        </w:rPr>
        <w:t>positioned in the furthest northeas</w:t>
      </w:r>
      <w:r w:rsidR="008771C1">
        <w:rPr>
          <w:rFonts w:cs="Calibri"/>
          <w:i/>
          <w:szCs w:val="22"/>
        </w:rPr>
        <w:t xml:space="preserve">tern corner of the development. The applicant stated the location was </w:t>
      </w:r>
      <w:r w:rsidR="009E3611" w:rsidRPr="009E3611">
        <w:rPr>
          <w:rFonts w:cs="Calibri"/>
          <w:i/>
          <w:szCs w:val="22"/>
        </w:rPr>
        <w:t xml:space="preserve">influenced by existing retail placements, parking requirements, and a desire to harmonize with neighboring uses. </w:t>
      </w:r>
      <w:r>
        <w:rPr>
          <w:rFonts w:cs="Calibri"/>
          <w:i/>
          <w:szCs w:val="22"/>
        </w:rPr>
        <w:t>The current location contributes to visibility problem</w:t>
      </w:r>
      <w:r w:rsidR="008771C1">
        <w:rPr>
          <w:rFonts w:cs="Calibri"/>
          <w:i/>
          <w:szCs w:val="22"/>
        </w:rPr>
        <w:t>s, which the applicant stated</w:t>
      </w:r>
      <w:r>
        <w:rPr>
          <w:rFonts w:cs="Calibri"/>
          <w:i/>
          <w:szCs w:val="22"/>
        </w:rPr>
        <w:t xml:space="preserve"> as a need for a sign variance to enhance the store’s identi</w:t>
      </w:r>
      <w:r w:rsidR="00067FBD">
        <w:rPr>
          <w:rFonts w:cs="Calibri"/>
          <w:i/>
          <w:szCs w:val="22"/>
        </w:rPr>
        <w:t xml:space="preserve">ty along SW Nyberg Street. </w:t>
      </w:r>
      <w:r w:rsidR="00D16CB2" w:rsidRPr="00D16CB2">
        <w:rPr>
          <w:rFonts w:asciiTheme="minorHAnsi" w:hAnsiTheme="minorHAnsi" w:cstheme="minorHAnsi"/>
          <w:i/>
          <w:color w:val="000000" w:themeColor="text1"/>
          <w:szCs w:val="22"/>
        </w:rPr>
        <w:t xml:space="preserve">The applicant asserted that they had no influence over the property’s size or layout. The site is bordered by the Tualatin River, I-5 and Nyberg Street which complicates the </w:t>
      </w:r>
      <w:r w:rsidR="00D16CB2">
        <w:rPr>
          <w:rFonts w:asciiTheme="minorHAnsi" w:hAnsiTheme="minorHAnsi" w:cstheme="minorHAnsi"/>
          <w:i/>
          <w:color w:val="000000" w:themeColor="text1"/>
          <w:szCs w:val="22"/>
        </w:rPr>
        <w:t>access and visibility of the site</w:t>
      </w:r>
      <w:r w:rsidR="00D16CB2" w:rsidRPr="00D16CB2">
        <w:rPr>
          <w:rFonts w:asciiTheme="minorHAnsi" w:hAnsiTheme="minorHAnsi" w:cstheme="minorHAnsi"/>
          <w:i/>
          <w:color w:val="000000" w:themeColor="text1"/>
          <w:szCs w:val="22"/>
        </w:rPr>
        <w:t xml:space="preserve">. </w:t>
      </w:r>
    </w:p>
    <w:p w14:paraId="7F6D5EDD" w14:textId="77777777" w:rsidR="00067FBD" w:rsidRPr="00067FBD" w:rsidRDefault="00067FBD" w:rsidP="00067FBD">
      <w:pPr>
        <w:pStyle w:val="List3"/>
        <w:ind w:left="0" w:firstLine="0"/>
        <w:rPr>
          <w:i/>
        </w:rPr>
      </w:pPr>
    </w:p>
    <w:p w14:paraId="0A1FC499" w14:textId="688418F5" w:rsidR="00B26CFC" w:rsidRDefault="00004EAD" w:rsidP="008771C1">
      <w:pPr>
        <w:pStyle w:val="List3"/>
        <w:rPr>
          <w:b/>
        </w:rPr>
      </w:pPr>
      <w:r w:rsidRPr="00B26CFC">
        <w:rPr>
          <w:b/>
        </w:rPr>
        <w:lastRenderedPageBreak/>
        <w:t>(ii)</w:t>
      </w:r>
      <w:r w:rsidRPr="00B26CFC">
        <w:rPr>
          <w:b/>
        </w:rPr>
        <w:tab/>
        <w:t xml:space="preserve">The hardship does not result from actions of the applicant, owner or previous owner, or from personal circumstances, or from the financial situation of the applicant or owner or the company, or from regional economic conditions; </w:t>
      </w:r>
    </w:p>
    <w:p w14:paraId="1597AC93" w14:textId="2678104C" w:rsidR="00B26CFC" w:rsidRDefault="00B26CFC" w:rsidP="00B26CFC">
      <w:pPr>
        <w:pStyle w:val="List3"/>
        <w:ind w:left="0" w:firstLine="0"/>
        <w:rPr>
          <w:b/>
        </w:rPr>
      </w:pPr>
    </w:p>
    <w:p w14:paraId="098C2AAD" w14:textId="0C393E47" w:rsidR="00067FBD" w:rsidRDefault="00B26CFC" w:rsidP="00297C4E">
      <w:pPr>
        <w:pStyle w:val="List3"/>
        <w:ind w:left="0" w:firstLine="0"/>
        <w:rPr>
          <w:b/>
        </w:rPr>
      </w:pPr>
      <w:r w:rsidRPr="002053F4">
        <w:rPr>
          <w:b/>
          <w:u w:val="single"/>
        </w:rPr>
        <w:t>Finding</w:t>
      </w:r>
      <w:r w:rsidRPr="002053F4">
        <w:rPr>
          <w:b/>
        </w:rPr>
        <w:t>:</w:t>
      </w:r>
    </w:p>
    <w:p w14:paraId="09471DE3" w14:textId="5C91EBC6" w:rsidR="00067FBD" w:rsidRPr="008633E1" w:rsidRDefault="00067FBD" w:rsidP="00297C4E">
      <w:pPr>
        <w:pStyle w:val="List3"/>
        <w:ind w:left="0" w:firstLine="0"/>
        <w:rPr>
          <w:i/>
        </w:rPr>
      </w:pPr>
      <w:r w:rsidRPr="008633E1">
        <w:rPr>
          <w:i/>
        </w:rPr>
        <w:t>In the submitted narrative (</w:t>
      </w:r>
      <w:r w:rsidR="0088054C" w:rsidRPr="008633E1">
        <w:rPr>
          <w:i/>
        </w:rPr>
        <w:t>Exhibit A</w:t>
      </w:r>
      <w:r w:rsidRPr="008633E1">
        <w:rPr>
          <w:i/>
        </w:rPr>
        <w:t xml:space="preserve">), the applicant </w:t>
      </w:r>
      <w:r w:rsidR="001D78AA" w:rsidRPr="008633E1">
        <w:rPr>
          <w:i/>
        </w:rPr>
        <w:t>discussed</w:t>
      </w:r>
      <w:r w:rsidRPr="008633E1">
        <w:rPr>
          <w:i/>
        </w:rPr>
        <w:t xml:space="preserve"> that the hardship is not a </w:t>
      </w:r>
      <w:r w:rsidR="001D78AA" w:rsidRPr="008633E1">
        <w:rPr>
          <w:i/>
        </w:rPr>
        <w:t>result</w:t>
      </w:r>
      <w:r w:rsidRPr="008633E1">
        <w:rPr>
          <w:i/>
        </w:rPr>
        <w:t xml:space="preserve"> of </w:t>
      </w:r>
      <w:r w:rsidR="002053F4" w:rsidRPr="008633E1">
        <w:rPr>
          <w:i/>
        </w:rPr>
        <w:t xml:space="preserve">action </w:t>
      </w:r>
      <w:r w:rsidR="001D78AA" w:rsidRPr="008633E1">
        <w:rPr>
          <w:i/>
        </w:rPr>
        <w:t xml:space="preserve">by the applicant, </w:t>
      </w:r>
      <w:r w:rsidR="002053F4" w:rsidRPr="008633E1">
        <w:rPr>
          <w:i/>
        </w:rPr>
        <w:t>owner</w:t>
      </w:r>
      <w:r w:rsidR="001D78AA" w:rsidRPr="008633E1">
        <w:rPr>
          <w:i/>
        </w:rPr>
        <w:t xml:space="preserve"> or previous owner. The applicant stated the described hardships are also not a result of the </w:t>
      </w:r>
      <w:r w:rsidR="002053F4" w:rsidRPr="008633E1">
        <w:rPr>
          <w:i/>
        </w:rPr>
        <w:t>finical situation of the</w:t>
      </w:r>
      <w:r w:rsidR="001D78AA" w:rsidRPr="008633E1">
        <w:rPr>
          <w:i/>
        </w:rPr>
        <w:t xml:space="preserve"> </w:t>
      </w:r>
      <w:r w:rsidR="002053F4" w:rsidRPr="008633E1">
        <w:rPr>
          <w:i/>
        </w:rPr>
        <w:t>applicant</w:t>
      </w:r>
      <w:r w:rsidR="001D78AA" w:rsidRPr="008633E1">
        <w:rPr>
          <w:i/>
        </w:rPr>
        <w:t xml:space="preserve">, </w:t>
      </w:r>
      <w:r w:rsidR="002053F4" w:rsidRPr="008633E1">
        <w:rPr>
          <w:i/>
        </w:rPr>
        <w:t>owner</w:t>
      </w:r>
      <w:r w:rsidR="001D78AA" w:rsidRPr="008633E1">
        <w:rPr>
          <w:i/>
        </w:rPr>
        <w:t xml:space="preserve">, or company or from the </w:t>
      </w:r>
      <w:r w:rsidR="002053F4" w:rsidRPr="008633E1">
        <w:rPr>
          <w:i/>
        </w:rPr>
        <w:t>regional</w:t>
      </w:r>
      <w:r w:rsidR="001D78AA" w:rsidRPr="008633E1">
        <w:rPr>
          <w:i/>
        </w:rPr>
        <w:t xml:space="preserve"> economic conditions. </w:t>
      </w:r>
    </w:p>
    <w:p w14:paraId="5C453795" w14:textId="7D0A6F9C" w:rsidR="001D78AA" w:rsidRPr="008633E1" w:rsidRDefault="001D78AA" w:rsidP="00297C4E">
      <w:pPr>
        <w:pStyle w:val="List3"/>
        <w:ind w:left="0" w:firstLine="0"/>
        <w:rPr>
          <w:i/>
        </w:rPr>
      </w:pPr>
    </w:p>
    <w:p w14:paraId="1468B8D3" w14:textId="1A86C1AA" w:rsidR="001D78AA" w:rsidRPr="008633E1" w:rsidRDefault="001D78AA" w:rsidP="00297C4E">
      <w:pPr>
        <w:pStyle w:val="List3"/>
        <w:ind w:left="0" w:firstLine="0"/>
        <w:rPr>
          <w:i/>
        </w:rPr>
      </w:pPr>
      <w:r w:rsidRPr="008633E1">
        <w:rPr>
          <w:i/>
        </w:rPr>
        <w:t xml:space="preserve">The narrative noted that the Tualatin Development Code </w:t>
      </w:r>
      <w:r w:rsidR="002053F4" w:rsidRPr="008633E1">
        <w:rPr>
          <w:i/>
        </w:rPr>
        <w:t>created the process and pro</w:t>
      </w:r>
      <w:r w:rsidR="008771C1" w:rsidRPr="008633E1">
        <w:rPr>
          <w:i/>
        </w:rPr>
        <w:t xml:space="preserve">cedures of the land use application </w:t>
      </w:r>
      <w:r w:rsidR="002053F4" w:rsidRPr="008633E1">
        <w:rPr>
          <w:i/>
        </w:rPr>
        <w:t>that approved the Nyberg Rivers shopping mall under Architectural Review 13-07. The site was previously developed prior to Cabela’s/Bass Pro Shops taking interest in the site and the location of the Cabela’s/Bass Pro Shops retailer was determined through the land</w:t>
      </w:r>
      <w:r w:rsidR="008771C1" w:rsidRPr="008633E1">
        <w:rPr>
          <w:i/>
        </w:rPr>
        <w:t xml:space="preserve"> use and Architectural Review Board </w:t>
      </w:r>
      <w:r w:rsidR="002053F4" w:rsidRPr="008633E1">
        <w:rPr>
          <w:i/>
        </w:rPr>
        <w:t xml:space="preserve">process. The narrative also stated the road locations and thus the bifurcation of the site were due to the Tualatin Transportation System Plan and are out of the control of the applicant team. </w:t>
      </w:r>
    </w:p>
    <w:p w14:paraId="3B6F8722" w14:textId="4856FC7A" w:rsidR="00297C4E" w:rsidRPr="008633E1" w:rsidRDefault="00297C4E" w:rsidP="00297C4E">
      <w:pPr>
        <w:pStyle w:val="List3"/>
        <w:ind w:left="0" w:firstLine="0"/>
        <w:rPr>
          <w:b/>
        </w:rPr>
      </w:pPr>
    </w:p>
    <w:p w14:paraId="2C986669" w14:textId="04DABA78" w:rsidR="00004EAD" w:rsidRPr="008633E1" w:rsidRDefault="00004EAD" w:rsidP="00004EAD">
      <w:pPr>
        <w:pStyle w:val="List3"/>
        <w:rPr>
          <w:b/>
        </w:rPr>
      </w:pPr>
      <w:r w:rsidRPr="008633E1">
        <w:rPr>
          <w:b/>
        </w:rPr>
        <w:t>(iii)</w:t>
      </w:r>
      <w:r w:rsidRPr="008633E1">
        <w:rPr>
          <w:b/>
        </w:rPr>
        <w:tab/>
        <w:t xml:space="preserve">The variance is the minimum remedy necessary to eliminate the hardship; </w:t>
      </w:r>
    </w:p>
    <w:p w14:paraId="18C78C1B" w14:textId="085EF64C" w:rsidR="00B26CFC" w:rsidRPr="008633E1" w:rsidRDefault="00B26CFC" w:rsidP="00B26CFC">
      <w:pPr>
        <w:pStyle w:val="List3"/>
        <w:ind w:left="0" w:firstLine="0"/>
        <w:rPr>
          <w:b/>
        </w:rPr>
      </w:pPr>
    </w:p>
    <w:p w14:paraId="6C16BA6E" w14:textId="460BD42C" w:rsidR="00297C4E" w:rsidRPr="008633E1" w:rsidRDefault="00B26CFC" w:rsidP="00297C4E">
      <w:pPr>
        <w:pStyle w:val="List3"/>
        <w:ind w:left="0" w:firstLine="0"/>
        <w:rPr>
          <w:b/>
        </w:rPr>
      </w:pPr>
      <w:r w:rsidRPr="008633E1">
        <w:rPr>
          <w:b/>
          <w:u w:val="single"/>
        </w:rPr>
        <w:t>Finding</w:t>
      </w:r>
      <w:r w:rsidRPr="008633E1">
        <w:rPr>
          <w:b/>
        </w:rPr>
        <w:t>:</w:t>
      </w:r>
    </w:p>
    <w:p w14:paraId="1B2DB96F" w14:textId="7BF8D450" w:rsidR="002053F4" w:rsidRPr="008633E1" w:rsidRDefault="002053F4" w:rsidP="00297C4E">
      <w:pPr>
        <w:pStyle w:val="List3"/>
        <w:ind w:left="0" w:firstLine="0"/>
        <w:rPr>
          <w:i/>
        </w:rPr>
      </w:pPr>
      <w:r w:rsidRPr="008633E1">
        <w:rPr>
          <w:i/>
        </w:rPr>
        <w:t>The applicant’s narrative (</w:t>
      </w:r>
      <w:r w:rsidR="0088054C" w:rsidRPr="008633E1">
        <w:rPr>
          <w:i/>
        </w:rPr>
        <w:t>Exhibit A</w:t>
      </w:r>
      <w:r w:rsidRPr="008633E1">
        <w:rPr>
          <w:i/>
        </w:rPr>
        <w:t xml:space="preserve">) stated that the requested variances are the minimum remedy </w:t>
      </w:r>
      <w:r w:rsidR="003B0015" w:rsidRPr="008633E1">
        <w:rPr>
          <w:i/>
        </w:rPr>
        <w:t xml:space="preserve">necessary </w:t>
      </w:r>
      <w:r w:rsidRPr="008633E1">
        <w:rPr>
          <w:i/>
        </w:rPr>
        <w:t xml:space="preserve">to maintain adequate </w:t>
      </w:r>
      <w:r w:rsidR="003B0015" w:rsidRPr="008633E1">
        <w:rPr>
          <w:i/>
        </w:rPr>
        <w:t>visibility</w:t>
      </w:r>
      <w:r>
        <w:rPr>
          <w:i/>
        </w:rPr>
        <w:t xml:space="preserve"> for the business</w:t>
      </w:r>
      <w:r w:rsidR="00517539">
        <w:rPr>
          <w:i/>
        </w:rPr>
        <w:t>. The applicant also provided that the variance w</w:t>
      </w:r>
      <w:r w:rsidR="00517539" w:rsidRPr="008633E1">
        <w:rPr>
          <w:i/>
        </w:rPr>
        <w:t xml:space="preserve">ould be the minimum remedy </w:t>
      </w:r>
      <w:r w:rsidRPr="008633E1">
        <w:rPr>
          <w:i/>
        </w:rPr>
        <w:t xml:space="preserve">to integrate the </w:t>
      </w:r>
      <w:r w:rsidR="00517539" w:rsidRPr="008633E1">
        <w:rPr>
          <w:i/>
        </w:rPr>
        <w:t xml:space="preserve">proposed </w:t>
      </w:r>
      <w:r w:rsidRPr="008633E1">
        <w:rPr>
          <w:i/>
        </w:rPr>
        <w:t xml:space="preserve">signs with the </w:t>
      </w:r>
      <w:r w:rsidR="003B0015" w:rsidRPr="008633E1">
        <w:rPr>
          <w:i/>
        </w:rPr>
        <w:t xml:space="preserve">architectural </w:t>
      </w:r>
      <w:r w:rsidRPr="008633E1">
        <w:rPr>
          <w:i/>
        </w:rPr>
        <w:t>scale of the façade without creating sign clutter.</w:t>
      </w:r>
      <w:r w:rsidR="003B0015" w:rsidRPr="008633E1">
        <w:rPr>
          <w:i/>
        </w:rPr>
        <w:t xml:space="preserve"> </w:t>
      </w:r>
      <w:r w:rsidRPr="008633E1">
        <w:rPr>
          <w:i/>
        </w:rPr>
        <w:t xml:space="preserve">The applicant submitted </w:t>
      </w:r>
      <w:r w:rsidR="003B0015" w:rsidRPr="008633E1">
        <w:rPr>
          <w:i/>
        </w:rPr>
        <w:t xml:space="preserve">a </w:t>
      </w:r>
      <w:r w:rsidRPr="008633E1">
        <w:rPr>
          <w:i/>
        </w:rPr>
        <w:t xml:space="preserve">rendering of </w:t>
      </w:r>
      <w:r w:rsidR="003B0015" w:rsidRPr="008633E1">
        <w:rPr>
          <w:i/>
        </w:rPr>
        <w:t xml:space="preserve">the proposed sign plan with the requested variances applied versus a rendering of the proposed sign plan without the requested variance applied in </w:t>
      </w:r>
      <w:r w:rsidR="0088054C" w:rsidRPr="008633E1">
        <w:rPr>
          <w:i/>
        </w:rPr>
        <w:t>Exhibit C</w:t>
      </w:r>
      <w:r w:rsidR="003B0015" w:rsidRPr="008633E1">
        <w:rPr>
          <w:i/>
        </w:rPr>
        <w:t xml:space="preserve">. </w:t>
      </w:r>
    </w:p>
    <w:p w14:paraId="6CD15B3B" w14:textId="2EA09975" w:rsidR="003B0015" w:rsidRPr="008633E1" w:rsidRDefault="003B0015" w:rsidP="00297C4E">
      <w:pPr>
        <w:pStyle w:val="List3"/>
        <w:ind w:left="0" w:firstLine="0"/>
        <w:rPr>
          <w:i/>
        </w:rPr>
      </w:pPr>
    </w:p>
    <w:p w14:paraId="622BF9F7" w14:textId="06BE7CFD" w:rsidR="003B0015" w:rsidRDefault="007968CB" w:rsidP="00297C4E">
      <w:pPr>
        <w:pStyle w:val="List3"/>
        <w:ind w:left="0" w:firstLine="0"/>
        <w:rPr>
          <w:i/>
        </w:rPr>
      </w:pPr>
      <w:r w:rsidRPr="008633E1">
        <w:rPr>
          <w:i/>
        </w:rPr>
        <w:t>The applicant submitted site photos (</w:t>
      </w:r>
      <w:r w:rsidR="0088054C" w:rsidRPr="008633E1">
        <w:rPr>
          <w:i/>
        </w:rPr>
        <w:t>Exhibit C</w:t>
      </w:r>
      <w:r w:rsidRPr="008633E1">
        <w:rPr>
          <w:i/>
        </w:rPr>
        <w:t xml:space="preserve">) that depict the current signage site conditions when viewed from 300 feet and 525 feet. </w:t>
      </w:r>
      <w:r w:rsidR="003B0015" w:rsidRPr="008633E1">
        <w:rPr>
          <w:i/>
        </w:rPr>
        <w:t xml:space="preserve">The narrative reported that the </w:t>
      </w:r>
      <w:r w:rsidRPr="008633E1">
        <w:rPr>
          <w:i/>
        </w:rPr>
        <w:t>proposed sign package does not appear out of scale with the existing façade and the requested variances would be reasonably readable at 300 feet. The applicant continued by stating a</w:t>
      </w:r>
      <w:r>
        <w:rPr>
          <w:i/>
        </w:rPr>
        <w:t xml:space="preserve">t over 525 feet along SW Nyberg Street, the signage would become much less readable and would not appear out of proportion with the existing architectural features. </w:t>
      </w:r>
      <w:r w:rsidR="000407D1">
        <w:rPr>
          <w:i/>
        </w:rPr>
        <w:t xml:space="preserve">The narrative noted the proposed signage would be integrated into the entry way sign so that it </w:t>
      </w:r>
      <w:r w:rsidR="00212442">
        <w:rPr>
          <w:i/>
        </w:rPr>
        <w:t>would appear</w:t>
      </w:r>
      <w:r w:rsidR="000407D1">
        <w:rPr>
          <w:i/>
        </w:rPr>
        <w:t xml:space="preserve"> expected and familiar rather than out of place or out of scale. </w:t>
      </w:r>
    </w:p>
    <w:p w14:paraId="6A1E68F0" w14:textId="53204A93" w:rsidR="003B0015" w:rsidRDefault="003B0015" w:rsidP="00297C4E">
      <w:pPr>
        <w:pStyle w:val="List3"/>
        <w:ind w:left="0" w:firstLine="0"/>
        <w:rPr>
          <w:i/>
        </w:rPr>
      </w:pPr>
    </w:p>
    <w:p w14:paraId="4B9CA83F" w14:textId="419749CB" w:rsidR="002053F4" w:rsidRPr="008633E1" w:rsidRDefault="003B0015" w:rsidP="00297C4E">
      <w:pPr>
        <w:pStyle w:val="List3"/>
        <w:ind w:left="0" w:firstLine="0"/>
        <w:rPr>
          <w:i/>
        </w:rPr>
      </w:pPr>
      <w:r>
        <w:rPr>
          <w:i/>
        </w:rPr>
        <w:t xml:space="preserve">City </w:t>
      </w:r>
      <w:r w:rsidR="002053F4" w:rsidRPr="002053F4">
        <w:rPr>
          <w:i/>
        </w:rPr>
        <w:t>Staff note</w:t>
      </w:r>
      <w:r w:rsidR="00F11F54">
        <w:rPr>
          <w:i/>
        </w:rPr>
        <w:t>d</w:t>
      </w:r>
      <w:r w:rsidR="002053F4" w:rsidRPr="002053F4">
        <w:rPr>
          <w:i/>
        </w:rPr>
        <w:t xml:space="preserve"> </w:t>
      </w:r>
      <w:r w:rsidR="00F11F54">
        <w:rPr>
          <w:i/>
        </w:rPr>
        <w:t>the</w:t>
      </w:r>
      <w:r w:rsidR="002053F4" w:rsidRPr="002053F4">
        <w:rPr>
          <w:i/>
        </w:rPr>
        <w:t xml:space="preserve"> two previous sign variance </w:t>
      </w:r>
      <w:r w:rsidR="002053F4" w:rsidRPr="008633E1">
        <w:rPr>
          <w:i/>
        </w:rPr>
        <w:t>applications</w:t>
      </w:r>
      <w:r w:rsidR="00F11F54" w:rsidRPr="008633E1">
        <w:rPr>
          <w:i/>
        </w:rPr>
        <w:t xml:space="preserve"> (</w:t>
      </w:r>
      <w:r w:rsidR="0088054C" w:rsidRPr="008633E1">
        <w:rPr>
          <w:i/>
        </w:rPr>
        <w:t>Exhibit G</w:t>
      </w:r>
      <w:r w:rsidR="00212442" w:rsidRPr="008633E1">
        <w:rPr>
          <w:i/>
        </w:rPr>
        <w:t xml:space="preserve"> and </w:t>
      </w:r>
      <w:r w:rsidR="0088054C" w:rsidRPr="008633E1">
        <w:rPr>
          <w:i/>
        </w:rPr>
        <w:t>H</w:t>
      </w:r>
      <w:r w:rsidR="00F11F54" w:rsidRPr="008633E1">
        <w:rPr>
          <w:i/>
        </w:rPr>
        <w:t>)</w:t>
      </w:r>
      <w:r w:rsidR="002053F4" w:rsidRPr="008633E1">
        <w:rPr>
          <w:i/>
        </w:rPr>
        <w:t xml:space="preserve"> submitted and reviewed for the Cabela’s/Bass Pro Shops location. </w:t>
      </w:r>
    </w:p>
    <w:p w14:paraId="50B221A7" w14:textId="77777777" w:rsidR="00F11F54" w:rsidRPr="008633E1" w:rsidRDefault="00F11F54" w:rsidP="00297C4E">
      <w:pPr>
        <w:pStyle w:val="List3"/>
        <w:ind w:left="0" w:firstLine="0"/>
        <w:rPr>
          <w:i/>
        </w:rPr>
      </w:pPr>
    </w:p>
    <w:p w14:paraId="55EA2FB1" w14:textId="39815DEF" w:rsidR="00F11F54" w:rsidRPr="00F11F54" w:rsidRDefault="00F11F54" w:rsidP="00F11F54">
      <w:pPr>
        <w:pStyle w:val="List3"/>
        <w:numPr>
          <w:ilvl w:val="0"/>
          <w:numId w:val="25"/>
        </w:numPr>
        <w:rPr>
          <w:i/>
        </w:rPr>
      </w:pPr>
      <w:r w:rsidRPr="008633E1">
        <w:rPr>
          <w:b/>
          <w:i/>
        </w:rPr>
        <w:t>SVAR 14-01:</w:t>
      </w:r>
      <w:r w:rsidRPr="008633E1">
        <w:rPr>
          <w:i/>
        </w:rPr>
        <w:t xml:space="preserve"> Granted the request for a sign variance for Cabela’</w:t>
      </w:r>
      <w:r>
        <w:rPr>
          <w:i/>
        </w:rPr>
        <w:t>s store located at 7555 SW Nyberg Street.</w:t>
      </w:r>
      <w:r w:rsidRPr="00F11F54">
        <w:rPr>
          <w:rFonts w:asciiTheme="minorHAnsi" w:hAnsiTheme="minorHAnsi" w:cstheme="minorHAnsi"/>
          <w:i/>
          <w:szCs w:val="22"/>
        </w:rPr>
        <w:t xml:space="preserve"> </w:t>
      </w:r>
      <w:r w:rsidRPr="00F11F54">
        <w:rPr>
          <w:rFonts w:asciiTheme="minorHAnsi" w:hAnsiTheme="minorHAnsi" w:cstheme="minorHAnsi"/>
          <w:i/>
          <w:color w:val="000000"/>
          <w:szCs w:val="22"/>
        </w:rPr>
        <w:t>Cabela’s be allowed to obtain two variances for sign permits and erect two wall signs with up to eight (8) foot high letters and a total of 658 square feet of sign face area for the entire store inclusive of the following</w:t>
      </w:r>
      <w:r>
        <w:rPr>
          <w:rFonts w:asciiTheme="minorHAnsi" w:hAnsiTheme="minorHAnsi" w:cstheme="minorHAnsi"/>
          <w:i/>
          <w:color w:val="000000"/>
          <w:szCs w:val="22"/>
        </w:rPr>
        <w:t xml:space="preserve">: </w:t>
      </w:r>
    </w:p>
    <w:p w14:paraId="32FD68A6" w14:textId="3C09F5D3" w:rsidR="00F11F54" w:rsidRPr="00DE1544" w:rsidRDefault="00F11F54" w:rsidP="00F11F54">
      <w:pPr>
        <w:pStyle w:val="ListParagraph"/>
        <w:numPr>
          <w:ilvl w:val="0"/>
          <w:numId w:val="26"/>
        </w:numPr>
        <w:overflowPunct/>
        <w:autoSpaceDE/>
        <w:autoSpaceDN/>
        <w:adjustRightInd/>
        <w:textAlignment w:val="auto"/>
        <w:rPr>
          <w:rFonts w:asciiTheme="minorHAnsi" w:hAnsiTheme="minorHAnsi" w:cstheme="minorHAnsi"/>
          <w:i/>
          <w:color w:val="000000"/>
          <w:szCs w:val="22"/>
        </w:rPr>
      </w:pPr>
      <w:r w:rsidRPr="00DE1544">
        <w:rPr>
          <w:rFonts w:asciiTheme="minorHAnsi" w:hAnsiTheme="minorHAnsi" w:cstheme="minorHAnsi"/>
          <w:i/>
          <w:color w:val="000000"/>
          <w:szCs w:val="22"/>
        </w:rPr>
        <w:t>Cabela’s west elevation will have a “Customer Pick-up” Sign at 58 square feet.</w:t>
      </w:r>
    </w:p>
    <w:p w14:paraId="43A5087D" w14:textId="77777777" w:rsidR="00D17EA7" w:rsidRPr="00DE1544" w:rsidRDefault="00F11F54" w:rsidP="00D17EA7">
      <w:pPr>
        <w:pStyle w:val="ListParagraph"/>
        <w:numPr>
          <w:ilvl w:val="0"/>
          <w:numId w:val="26"/>
        </w:numPr>
        <w:overflowPunct/>
        <w:autoSpaceDE/>
        <w:autoSpaceDN/>
        <w:adjustRightInd/>
        <w:textAlignment w:val="auto"/>
        <w:rPr>
          <w:rFonts w:asciiTheme="minorHAnsi" w:hAnsiTheme="minorHAnsi" w:cstheme="minorHAnsi"/>
          <w:i/>
          <w:color w:val="000000"/>
          <w:szCs w:val="22"/>
        </w:rPr>
      </w:pPr>
      <w:r w:rsidRPr="00DE1544">
        <w:rPr>
          <w:rFonts w:asciiTheme="minorHAnsi" w:hAnsiTheme="minorHAnsi" w:cstheme="minorHAnsi"/>
          <w:i/>
          <w:color w:val="000000"/>
          <w:szCs w:val="22"/>
        </w:rPr>
        <w:t>The south elevation will have three signs:</w:t>
      </w:r>
    </w:p>
    <w:p w14:paraId="00709B6D" w14:textId="1A3BC7AE" w:rsidR="00F11F54" w:rsidRPr="00DE1544" w:rsidRDefault="00D17EA7" w:rsidP="00D17EA7">
      <w:pPr>
        <w:pStyle w:val="ListParagraph"/>
        <w:numPr>
          <w:ilvl w:val="1"/>
          <w:numId w:val="26"/>
        </w:numPr>
        <w:overflowPunct/>
        <w:autoSpaceDE/>
        <w:autoSpaceDN/>
        <w:adjustRightInd/>
        <w:textAlignment w:val="auto"/>
        <w:rPr>
          <w:rFonts w:asciiTheme="minorHAnsi" w:hAnsiTheme="minorHAnsi" w:cstheme="minorHAnsi"/>
          <w:i/>
          <w:color w:val="000000"/>
          <w:szCs w:val="22"/>
        </w:rPr>
      </w:pPr>
      <w:r w:rsidRPr="00DE1544">
        <w:rPr>
          <w:rFonts w:asciiTheme="minorHAnsi" w:hAnsiTheme="minorHAnsi" w:cstheme="minorHAnsi"/>
          <w:i/>
          <w:color w:val="000000"/>
          <w:szCs w:val="22"/>
        </w:rPr>
        <w:t>“Cabela’s,” at 227 square feet with up to 8-foot high lettering and “World’s Foremost Outfitter” for a total of 264 square feet.</w:t>
      </w:r>
    </w:p>
    <w:p w14:paraId="02682FD0" w14:textId="01294912" w:rsidR="00D17EA7" w:rsidRPr="00DE1544" w:rsidRDefault="00D17EA7" w:rsidP="00D17EA7">
      <w:pPr>
        <w:pStyle w:val="ListParagraph"/>
        <w:numPr>
          <w:ilvl w:val="1"/>
          <w:numId w:val="26"/>
        </w:numPr>
        <w:overflowPunct/>
        <w:autoSpaceDE/>
        <w:autoSpaceDN/>
        <w:adjustRightInd/>
        <w:textAlignment w:val="auto"/>
        <w:rPr>
          <w:rFonts w:asciiTheme="minorHAnsi" w:hAnsiTheme="minorHAnsi" w:cstheme="minorHAnsi"/>
          <w:i/>
          <w:color w:val="000000"/>
          <w:szCs w:val="22"/>
        </w:rPr>
      </w:pPr>
      <w:r w:rsidRPr="00DE1544">
        <w:rPr>
          <w:rFonts w:asciiTheme="minorHAnsi" w:hAnsiTheme="minorHAnsi" w:cstheme="minorHAnsi"/>
          <w:i/>
          <w:color w:val="000000"/>
          <w:szCs w:val="22"/>
        </w:rPr>
        <w:t>“Hunting – Fishing,” at 62 square feet with up to 2-foot high lettering.</w:t>
      </w:r>
    </w:p>
    <w:p w14:paraId="50CF9C7D" w14:textId="77777777" w:rsidR="00D17EA7" w:rsidRPr="00DE1544" w:rsidRDefault="00D17EA7" w:rsidP="00D17EA7">
      <w:pPr>
        <w:pStyle w:val="ListParagraph"/>
        <w:numPr>
          <w:ilvl w:val="1"/>
          <w:numId w:val="26"/>
        </w:numPr>
        <w:overflowPunct/>
        <w:autoSpaceDE/>
        <w:autoSpaceDN/>
        <w:adjustRightInd/>
        <w:textAlignment w:val="auto"/>
        <w:rPr>
          <w:rFonts w:asciiTheme="minorHAnsi" w:hAnsiTheme="minorHAnsi" w:cstheme="minorHAnsi"/>
          <w:i/>
          <w:color w:val="000000"/>
          <w:szCs w:val="22"/>
        </w:rPr>
      </w:pPr>
      <w:r w:rsidRPr="00DE1544">
        <w:rPr>
          <w:rFonts w:asciiTheme="minorHAnsi" w:hAnsiTheme="minorHAnsi" w:cstheme="minorHAnsi"/>
          <w:i/>
          <w:color w:val="000000"/>
          <w:szCs w:val="22"/>
        </w:rPr>
        <w:lastRenderedPageBreak/>
        <w:t>“Outdoor Gear,” at 47 square feet with up to 2-foot high lettering.</w:t>
      </w:r>
    </w:p>
    <w:p w14:paraId="1E895FFC" w14:textId="5A5384F2" w:rsidR="00D17EA7" w:rsidRDefault="00D17EA7" w:rsidP="00D17EA7">
      <w:pPr>
        <w:pStyle w:val="ListParagraph"/>
        <w:numPr>
          <w:ilvl w:val="0"/>
          <w:numId w:val="26"/>
        </w:numPr>
        <w:overflowPunct/>
        <w:autoSpaceDE/>
        <w:autoSpaceDN/>
        <w:adjustRightInd/>
        <w:textAlignment w:val="auto"/>
        <w:rPr>
          <w:rFonts w:asciiTheme="minorHAnsi" w:hAnsiTheme="minorHAnsi" w:cstheme="minorHAnsi"/>
          <w:i/>
          <w:color w:val="000000"/>
          <w:szCs w:val="22"/>
        </w:rPr>
      </w:pPr>
      <w:r w:rsidRPr="00DE1544">
        <w:rPr>
          <w:rFonts w:asciiTheme="minorHAnsi" w:hAnsiTheme="minorHAnsi" w:cstheme="minorHAnsi"/>
          <w:i/>
          <w:color w:val="000000"/>
          <w:szCs w:val="22"/>
        </w:rPr>
        <w:t>The east elevation will have one sign, “Cabela’s” at 227 square feet and up to 8-foot high lettering.</w:t>
      </w:r>
    </w:p>
    <w:p w14:paraId="0ABE349C" w14:textId="77777777" w:rsidR="00DE1544" w:rsidRDefault="00DE1544" w:rsidP="00DE1544">
      <w:pPr>
        <w:overflowPunct/>
        <w:autoSpaceDE/>
        <w:autoSpaceDN/>
        <w:adjustRightInd/>
        <w:textAlignment w:val="auto"/>
        <w:rPr>
          <w:rFonts w:asciiTheme="minorHAnsi" w:hAnsiTheme="minorHAnsi" w:cstheme="minorHAnsi"/>
          <w:i/>
          <w:color w:val="000000"/>
          <w:szCs w:val="22"/>
        </w:rPr>
      </w:pPr>
    </w:p>
    <w:p w14:paraId="56E6E7AC" w14:textId="4A91CE9E" w:rsidR="00DE1544" w:rsidRDefault="00DE1544" w:rsidP="00DE1544">
      <w:pPr>
        <w:pStyle w:val="ListParagraph"/>
        <w:numPr>
          <w:ilvl w:val="0"/>
          <w:numId w:val="25"/>
        </w:numPr>
        <w:overflowPunct/>
        <w:autoSpaceDE/>
        <w:autoSpaceDN/>
        <w:adjustRightInd/>
        <w:textAlignment w:val="auto"/>
        <w:rPr>
          <w:rFonts w:asciiTheme="minorHAnsi" w:hAnsiTheme="minorHAnsi" w:cstheme="minorHAnsi"/>
          <w:i/>
          <w:color w:val="000000"/>
          <w:szCs w:val="22"/>
        </w:rPr>
      </w:pPr>
      <w:r w:rsidRPr="007D6178">
        <w:rPr>
          <w:rFonts w:asciiTheme="minorHAnsi" w:hAnsiTheme="minorHAnsi" w:cstheme="minorHAnsi"/>
          <w:b/>
          <w:i/>
          <w:color w:val="000000"/>
          <w:szCs w:val="22"/>
        </w:rPr>
        <w:t>SVAR 15-01:</w:t>
      </w:r>
      <w:r w:rsidRPr="00DE1544">
        <w:rPr>
          <w:rFonts w:asciiTheme="minorHAnsi" w:hAnsiTheme="minorHAnsi" w:cstheme="minorHAnsi"/>
          <w:i/>
          <w:color w:val="000000"/>
          <w:szCs w:val="22"/>
        </w:rPr>
        <w:t xml:space="preserve"> Granted the request for a temporary banner sign variance for Cabela’s store located at 7555 SW Nyberg Stree</w:t>
      </w:r>
      <w:r w:rsidRPr="00DE1544">
        <w:rPr>
          <w:rFonts w:asciiTheme="minorHAnsi" w:hAnsiTheme="minorHAnsi" w:cstheme="minorHAnsi"/>
          <w:color w:val="000000"/>
          <w:szCs w:val="22"/>
        </w:rPr>
        <w:t>t.</w:t>
      </w:r>
      <w:r w:rsidRPr="00DE1544">
        <w:rPr>
          <w:rFonts w:asciiTheme="minorHAnsi" w:hAnsiTheme="minorHAnsi" w:cstheme="minorHAnsi"/>
          <w:i/>
          <w:color w:val="000000"/>
          <w:szCs w:val="22"/>
        </w:rPr>
        <w:t xml:space="preserve"> Cabela’s is granted a variance from the height requirements in TDC 38.110(5)(f) and a variance from the maximum square foot requirements in TDC 38.110(5)(f) related to temporary banner signs, subject to the following conditions:</w:t>
      </w:r>
    </w:p>
    <w:p w14:paraId="56B05119" w14:textId="77777777" w:rsidR="00DE1544" w:rsidRPr="00DE1544" w:rsidRDefault="00DE1544" w:rsidP="00DE1544">
      <w:pPr>
        <w:overflowPunct/>
        <w:autoSpaceDE/>
        <w:autoSpaceDN/>
        <w:adjustRightInd/>
        <w:textAlignment w:val="auto"/>
        <w:rPr>
          <w:rFonts w:asciiTheme="minorHAnsi" w:hAnsiTheme="minorHAnsi" w:cstheme="minorHAnsi"/>
          <w:i/>
          <w:color w:val="000000"/>
          <w:szCs w:val="22"/>
        </w:rPr>
      </w:pPr>
    </w:p>
    <w:p w14:paraId="4458370D" w14:textId="3A645426" w:rsidR="00DE1544" w:rsidRPr="00DE1544" w:rsidRDefault="00DE1544" w:rsidP="007D6178">
      <w:pPr>
        <w:pStyle w:val="ListParagraph"/>
        <w:numPr>
          <w:ilvl w:val="1"/>
          <w:numId w:val="25"/>
        </w:numPr>
        <w:overflowPunct/>
        <w:autoSpaceDE/>
        <w:autoSpaceDN/>
        <w:adjustRightInd/>
        <w:textAlignment w:val="auto"/>
        <w:rPr>
          <w:rFonts w:asciiTheme="minorHAnsi" w:hAnsiTheme="minorHAnsi" w:cstheme="minorHAnsi"/>
          <w:i/>
          <w:color w:val="000000"/>
          <w:szCs w:val="22"/>
        </w:rPr>
      </w:pPr>
      <w:r w:rsidRPr="00DE1544">
        <w:rPr>
          <w:rFonts w:asciiTheme="minorHAnsi" w:hAnsiTheme="minorHAnsi" w:cstheme="minorHAnsi"/>
          <w:i/>
          <w:color w:val="000000"/>
          <w:szCs w:val="22"/>
        </w:rPr>
        <w:t>Prior to installation of any temporary banner sign, Cabela’s must apply for, and receive, a sign permit;</w:t>
      </w:r>
    </w:p>
    <w:p w14:paraId="0744D2CE" w14:textId="048D5E7F" w:rsidR="00DE1544" w:rsidRPr="00DE1544" w:rsidRDefault="00DE1544" w:rsidP="007D6178">
      <w:pPr>
        <w:pStyle w:val="ListParagraph"/>
        <w:numPr>
          <w:ilvl w:val="1"/>
          <w:numId w:val="25"/>
        </w:numPr>
        <w:overflowPunct/>
        <w:autoSpaceDE/>
        <w:autoSpaceDN/>
        <w:adjustRightInd/>
        <w:textAlignment w:val="auto"/>
        <w:rPr>
          <w:rFonts w:asciiTheme="minorHAnsi" w:hAnsiTheme="minorHAnsi" w:cstheme="minorHAnsi"/>
          <w:i/>
          <w:color w:val="000000"/>
          <w:szCs w:val="22"/>
        </w:rPr>
      </w:pPr>
      <w:r w:rsidRPr="00DE1544">
        <w:rPr>
          <w:rFonts w:asciiTheme="minorHAnsi" w:hAnsiTheme="minorHAnsi" w:cstheme="minorHAnsi"/>
          <w:i/>
          <w:color w:val="000000"/>
          <w:szCs w:val="22"/>
        </w:rPr>
        <w:t>Temporary banners signs cannot exceed 10-feet in height;</w:t>
      </w:r>
    </w:p>
    <w:p w14:paraId="7657DD95" w14:textId="0BDA2B37" w:rsidR="00DE1544" w:rsidRPr="00DE1544" w:rsidRDefault="00DE1544" w:rsidP="007D6178">
      <w:pPr>
        <w:pStyle w:val="ListParagraph"/>
        <w:numPr>
          <w:ilvl w:val="1"/>
          <w:numId w:val="25"/>
        </w:numPr>
        <w:overflowPunct/>
        <w:autoSpaceDE/>
        <w:autoSpaceDN/>
        <w:adjustRightInd/>
        <w:textAlignment w:val="auto"/>
        <w:rPr>
          <w:rFonts w:asciiTheme="minorHAnsi" w:hAnsiTheme="minorHAnsi" w:cstheme="minorHAnsi"/>
          <w:i/>
          <w:color w:val="000000"/>
          <w:szCs w:val="22"/>
        </w:rPr>
      </w:pPr>
      <w:r w:rsidRPr="00DE1544">
        <w:rPr>
          <w:rFonts w:asciiTheme="minorHAnsi" w:hAnsiTheme="minorHAnsi" w:cstheme="minorHAnsi"/>
          <w:i/>
          <w:color w:val="000000"/>
          <w:szCs w:val="22"/>
        </w:rPr>
        <w:t>Temporary banners signs cannot exceed 120 square feet of total sign face;</w:t>
      </w:r>
    </w:p>
    <w:p w14:paraId="60D49FE7" w14:textId="4A0F0FB0" w:rsidR="00DE1544" w:rsidRPr="00DE1544" w:rsidRDefault="00DE1544" w:rsidP="007D6178">
      <w:pPr>
        <w:pStyle w:val="ListParagraph"/>
        <w:numPr>
          <w:ilvl w:val="1"/>
          <w:numId w:val="25"/>
        </w:numPr>
        <w:overflowPunct/>
        <w:autoSpaceDE/>
        <w:autoSpaceDN/>
        <w:adjustRightInd/>
        <w:textAlignment w:val="auto"/>
        <w:rPr>
          <w:rFonts w:asciiTheme="minorHAnsi" w:hAnsiTheme="minorHAnsi" w:cstheme="minorHAnsi"/>
          <w:i/>
          <w:color w:val="000000"/>
          <w:szCs w:val="22"/>
        </w:rPr>
      </w:pPr>
      <w:r w:rsidRPr="00DE1544">
        <w:rPr>
          <w:rFonts w:asciiTheme="minorHAnsi" w:hAnsiTheme="minorHAnsi" w:cstheme="minorHAnsi"/>
          <w:i/>
          <w:color w:val="000000"/>
          <w:szCs w:val="22"/>
        </w:rPr>
        <w:t>Temporary banner signs are only allowed on the front face of the building (the southeast elevation);</w:t>
      </w:r>
    </w:p>
    <w:p w14:paraId="28A8132D" w14:textId="6A5949FA" w:rsidR="00DE1544" w:rsidRPr="00DE1544" w:rsidRDefault="00DE1544" w:rsidP="007D6178">
      <w:pPr>
        <w:pStyle w:val="ListParagraph"/>
        <w:numPr>
          <w:ilvl w:val="1"/>
          <w:numId w:val="25"/>
        </w:numPr>
        <w:overflowPunct/>
        <w:autoSpaceDE/>
        <w:autoSpaceDN/>
        <w:adjustRightInd/>
        <w:textAlignment w:val="auto"/>
        <w:rPr>
          <w:rFonts w:asciiTheme="minorHAnsi" w:hAnsiTheme="minorHAnsi" w:cstheme="minorHAnsi"/>
          <w:i/>
          <w:color w:val="000000"/>
          <w:szCs w:val="22"/>
        </w:rPr>
      </w:pPr>
      <w:r w:rsidRPr="00DE1544">
        <w:rPr>
          <w:rFonts w:asciiTheme="minorHAnsi" w:hAnsiTheme="minorHAnsi" w:cstheme="minorHAnsi"/>
          <w:i/>
          <w:color w:val="000000"/>
          <w:szCs w:val="22"/>
        </w:rPr>
        <w:t>Only one temporary banner sign may be erected on the building at any one time;</w:t>
      </w:r>
    </w:p>
    <w:p w14:paraId="6892AE91" w14:textId="1702CDE1" w:rsidR="00DE1544" w:rsidRPr="00DE1544" w:rsidRDefault="00DE1544" w:rsidP="007D6178">
      <w:pPr>
        <w:pStyle w:val="ListParagraph"/>
        <w:numPr>
          <w:ilvl w:val="1"/>
          <w:numId w:val="25"/>
        </w:numPr>
        <w:overflowPunct/>
        <w:autoSpaceDE/>
        <w:autoSpaceDN/>
        <w:adjustRightInd/>
        <w:textAlignment w:val="auto"/>
        <w:rPr>
          <w:rFonts w:asciiTheme="minorHAnsi" w:hAnsiTheme="minorHAnsi" w:cstheme="minorHAnsi"/>
          <w:i/>
          <w:color w:val="000000"/>
          <w:szCs w:val="22"/>
        </w:rPr>
      </w:pPr>
      <w:r w:rsidRPr="00DE1544">
        <w:rPr>
          <w:rFonts w:asciiTheme="minorHAnsi" w:hAnsiTheme="minorHAnsi" w:cstheme="minorHAnsi"/>
          <w:i/>
          <w:color w:val="000000"/>
          <w:szCs w:val="22"/>
        </w:rPr>
        <w:t xml:space="preserve">The total amount of time that a temporary banner sign, or combination of temporary banner signs, </w:t>
      </w:r>
      <w:proofErr w:type="gramStart"/>
      <w:r w:rsidRPr="00DE1544">
        <w:rPr>
          <w:rFonts w:asciiTheme="minorHAnsi" w:hAnsiTheme="minorHAnsi" w:cstheme="minorHAnsi"/>
          <w:i/>
          <w:color w:val="000000"/>
          <w:szCs w:val="22"/>
        </w:rPr>
        <w:t>may</w:t>
      </w:r>
      <w:proofErr w:type="gramEnd"/>
      <w:r w:rsidRPr="00DE1544">
        <w:rPr>
          <w:rFonts w:asciiTheme="minorHAnsi" w:hAnsiTheme="minorHAnsi" w:cstheme="minorHAnsi"/>
          <w:i/>
          <w:color w:val="000000"/>
          <w:szCs w:val="22"/>
        </w:rPr>
        <w:t xml:space="preserve"> affixed to the building is 60 days in any one calendar year.</w:t>
      </w:r>
    </w:p>
    <w:p w14:paraId="147EAABB" w14:textId="62FF7D5F" w:rsidR="00DE1544" w:rsidRPr="00DE1544" w:rsidRDefault="00DE1544" w:rsidP="007D6178">
      <w:pPr>
        <w:pStyle w:val="ListParagraph"/>
        <w:numPr>
          <w:ilvl w:val="1"/>
          <w:numId w:val="25"/>
        </w:numPr>
        <w:overflowPunct/>
        <w:autoSpaceDE/>
        <w:autoSpaceDN/>
        <w:adjustRightInd/>
        <w:textAlignment w:val="auto"/>
        <w:rPr>
          <w:rFonts w:asciiTheme="minorHAnsi" w:hAnsiTheme="minorHAnsi" w:cstheme="minorHAnsi"/>
          <w:i/>
          <w:color w:val="000000"/>
          <w:szCs w:val="22"/>
        </w:rPr>
      </w:pPr>
      <w:r w:rsidRPr="00DE1544">
        <w:rPr>
          <w:rFonts w:asciiTheme="minorHAnsi" w:hAnsiTheme="minorHAnsi" w:cstheme="minorHAnsi"/>
          <w:i/>
          <w:color w:val="000000"/>
          <w:szCs w:val="22"/>
        </w:rPr>
        <w:t>This variance only applies to Cabela’s and does not apply to any new tenants of this building.</w:t>
      </w:r>
    </w:p>
    <w:p w14:paraId="1ADA9DD8" w14:textId="2D8C76CE" w:rsidR="00297C4E" w:rsidRDefault="00297C4E" w:rsidP="007D6178">
      <w:pPr>
        <w:pStyle w:val="List3"/>
        <w:ind w:left="0" w:firstLine="0"/>
        <w:rPr>
          <w:b/>
        </w:rPr>
      </w:pPr>
    </w:p>
    <w:p w14:paraId="6D9D93A6" w14:textId="73DDB0F5" w:rsidR="00004EAD" w:rsidRDefault="00004EAD" w:rsidP="00004EAD">
      <w:pPr>
        <w:pStyle w:val="List3"/>
        <w:rPr>
          <w:b/>
        </w:rPr>
      </w:pPr>
      <w:r w:rsidRPr="00B26CFC">
        <w:rPr>
          <w:b/>
        </w:rPr>
        <w:t>(iv)</w:t>
      </w:r>
      <w:r w:rsidRPr="00B26CFC">
        <w:rPr>
          <w:b/>
        </w:rPr>
        <w:tab/>
        <w:t xml:space="preserve">The variance is necessary for the preservation of a property right of the owner substantially the same as is possessed by owners of other property in the same zone however, nonconforming or illegal signs on the subject property or on nearby properties does not constitute justification to support a variance request; </w:t>
      </w:r>
    </w:p>
    <w:p w14:paraId="32DC0383" w14:textId="558CA9AD" w:rsidR="00B26CFC" w:rsidRDefault="00B26CFC" w:rsidP="00B26CFC">
      <w:pPr>
        <w:pStyle w:val="List3"/>
        <w:ind w:left="0" w:firstLine="0"/>
        <w:rPr>
          <w:b/>
        </w:rPr>
      </w:pPr>
    </w:p>
    <w:p w14:paraId="3FA40290" w14:textId="2409153F" w:rsidR="00B26CFC" w:rsidRDefault="00B26CFC" w:rsidP="00B26CFC">
      <w:pPr>
        <w:pStyle w:val="List3"/>
        <w:ind w:left="0" w:firstLine="0"/>
        <w:rPr>
          <w:b/>
        </w:rPr>
      </w:pPr>
      <w:r w:rsidRPr="001954FE">
        <w:rPr>
          <w:b/>
          <w:u w:val="single"/>
        </w:rPr>
        <w:t>Finding</w:t>
      </w:r>
      <w:r w:rsidR="001954FE" w:rsidRPr="001954FE">
        <w:rPr>
          <w:b/>
        </w:rPr>
        <w:t>:</w:t>
      </w:r>
    </w:p>
    <w:p w14:paraId="30E38A2A" w14:textId="7D2EE06D" w:rsidR="001954FE" w:rsidRPr="001954FE" w:rsidRDefault="00D04D0F" w:rsidP="00B26CFC">
      <w:pPr>
        <w:pStyle w:val="List3"/>
        <w:ind w:left="0" w:firstLine="0"/>
        <w:rPr>
          <w:i/>
        </w:rPr>
      </w:pPr>
      <w:r w:rsidRPr="008633E1">
        <w:rPr>
          <w:i/>
        </w:rPr>
        <w:t>The</w:t>
      </w:r>
      <w:r w:rsidR="001954FE" w:rsidRPr="008633E1">
        <w:rPr>
          <w:i/>
        </w:rPr>
        <w:t xml:space="preserve"> submitted narrative (</w:t>
      </w:r>
      <w:r w:rsidRPr="008633E1">
        <w:rPr>
          <w:i/>
        </w:rPr>
        <w:t>Exhibit A</w:t>
      </w:r>
      <w:r w:rsidR="00C35561" w:rsidRPr="008633E1">
        <w:rPr>
          <w:i/>
        </w:rPr>
        <w:t xml:space="preserve">) provided the response </w:t>
      </w:r>
      <w:r w:rsidR="001954FE" w:rsidRPr="008633E1">
        <w:rPr>
          <w:i/>
        </w:rPr>
        <w:t>that the requested variances for the intended signage size would preserve the property rights of Cabela’s/Bass Pro Shops to have visual access to their signage. The applicant stated the proposed si</w:t>
      </w:r>
      <w:r w:rsidR="001954FE">
        <w:rPr>
          <w:i/>
        </w:rPr>
        <w:t>ze of the signage would be just as legible as the signage of the other tenants in the shop</w:t>
      </w:r>
      <w:r w:rsidR="00C35561">
        <w:rPr>
          <w:i/>
        </w:rPr>
        <w:t>ping center who are sited closer</w:t>
      </w:r>
      <w:r w:rsidR="001954FE">
        <w:rPr>
          <w:i/>
        </w:rPr>
        <w:t xml:space="preserve"> to the </w:t>
      </w:r>
      <w:r w:rsidR="00C35561">
        <w:rPr>
          <w:i/>
        </w:rPr>
        <w:t>arterial</w:t>
      </w:r>
      <w:r w:rsidR="001954FE">
        <w:rPr>
          <w:i/>
        </w:rPr>
        <w:t xml:space="preserve"> streets in comparison to the Cabela’s/Bass Pro Shops location. </w:t>
      </w:r>
    </w:p>
    <w:p w14:paraId="0E0BD83B" w14:textId="1E3E6C0D" w:rsidR="00B26CFC" w:rsidRPr="00B26CFC" w:rsidRDefault="00B26CFC" w:rsidP="00B26CFC">
      <w:pPr>
        <w:pStyle w:val="List3"/>
        <w:ind w:left="0" w:firstLine="0"/>
        <w:rPr>
          <w:b/>
        </w:rPr>
      </w:pPr>
    </w:p>
    <w:p w14:paraId="752080DE" w14:textId="48C920E6" w:rsidR="00B26CFC" w:rsidRDefault="00004EAD" w:rsidP="00B26CFC">
      <w:pPr>
        <w:pStyle w:val="List3"/>
        <w:rPr>
          <w:b/>
        </w:rPr>
      </w:pPr>
      <w:r w:rsidRPr="00B26CFC">
        <w:rPr>
          <w:b/>
        </w:rPr>
        <w:t>(v)</w:t>
      </w:r>
      <w:r w:rsidRPr="00B26CFC">
        <w:rPr>
          <w:b/>
        </w:rPr>
        <w:tab/>
        <w:t xml:space="preserve">The variance must not be detrimental to the general public health, safety and welfare, and not be injurious to properties or improvements in the vicinity; and </w:t>
      </w:r>
    </w:p>
    <w:p w14:paraId="613AB47D" w14:textId="64798227" w:rsidR="00B26CFC" w:rsidRDefault="00B26CFC" w:rsidP="00B26CFC">
      <w:pPr>
        <w:pStyle w:val="List3"/>
        <w:ind w:left="0" w:firstLine="0"/>
        <w:rPr>
          <w:b/>
        </w:rPr>
      </w:pPr>
    </w:p>
    <w:p w14:paraId="074B8D16" w14:textId="12105A4D" w:rsidR="00B26CFC" w:rsidRDefault="00B26CFC" w:rsidP="00B26CFC">
      <w:pPr>
        <w:pStyle w:val="List3"/>
        <w:ind w:left="0" w:firstLine="0"/>
        <w:rPr>
          <w:b/>
        </w:rPr>
      </w:pPr>
      <w:r w:rsidRPr="00BB7FB3">
        <w:rPr>
          <w:b/>
          <w:u w:val="single"/>
        </w:rPr>
        <w:t>Finding</w:t>
      </w:r>
      <w:r w:rsidRPr="00BB7FB3">
        <w:rPr>
          <w:b/>
        </w:rPr>
        <w:t>:</w:t>
      </w:r>
    </w:p>
    <w:p w14:paraId="6118C6B8" w14:textId="2F711A7E" w:rsidR="00297C4E" w:rsidRPr="008633E1" w:rsidRDefault="00C9704A" w:rsidP="00B26CFC">
      <w:pPr>
        <w:pStyle w:val="List3"/>
        <w:ind w:left="0" w:firstLine="0"/>
        <w:rPr>
          <w:i/>
          <w:color w:val="000000" w:themeColor="text1"/>
        </w:rPr>
      </w:pPr>
      <w:r w:rsidRPr="008633E1">
        <w:rPr>
          <w:i/>
          <w:color w:val="000000" w:themeColor="text1"/>
        </w:rPr>
        <w:t xml:space="preserve">The submitted narrative in </w:t>
      </w:r>
      <w:r w:rsidR="00277B75" w:rsidRPr="008633E1">
        <w:rPr>
          <w:i/>
          <w:color w:val="000000" w:themeColor="text1"/>
        </w:rPr>
        <w:t>Exhibit A</w:t>
      </w:r>
      <w:r w:rsidRPr="008633E1">
        <w:rPr>
          <w:i/>
          <w:color w:val="000000" w:themeColor="text1"/>
        </w:rPr>
        <w:t xml:space="preserve"> stated the proposed sign variances would not cause detriment to the public health, safety and welfare and would not be injurious to properties or improvements in the vicinity. The applicant described how the sign variance would equalize visible access to the onsite business identities of the Nyberg Rivers shopping mall and would allow Cabela’s/Bass Pro shops signage to be appropriately adjusted in relation to the site location and size of the façade’s architectural features and unique design. </w:t>
      </w:r>
      <w:r w:rsidR="00BB7FB3" w:rsidRPr="008633E1">
        <w:rPr>
          <w:i/>
          <w:color w:val="000000" w:themeColor="text1"/>
        </w:rPr>
        <w:t xml:space="preserve">The narrative included that the Cabela’s/Bass Pro Shops retailer provides a large draw of business, and acts as an anchor to the Nyberg Rivers shopping mall. The applicant concluded that other tenants in the shopping center would </w:t>
      </w:r>
      <w:r w:rsidR="00342E4B" w:rsidRPr="008633E1">
        <w:rPr>
          <w:i/>
          <w:color w:val="000000" w:themeColor="text1"/>
        </w:rPr>
        <w:t xml:space="preserve">also </w:t>
      </w:r>
      <w:r w:rsidR="00BB7FB3" w:rsidRPr="008633E1">
        <w:rPr>
          <w:i/>
          <w:color w:val="000000" w:themeColor="text1"/>
        </w:rPr>
        <w:t xml:space="preserve">benefit from the increased visibility of the Cabela’s/Bass Pro Shops sign variance.  </w:t>
      </w:r>
    </w:p>
    <w:p w14:paraId="201379AB" w14:textId="77777777" w:rsidR="00297C4E" w:rsidRPr="008633E1" w:rsidRDefault="00297C4E" w:rsidP="00B26CFC">
      <w:pPr>
        <w:pStyle w:val="List3"/>
        <w:ind w:left="0" w:firstLine="0"/>
        <w:rPr>
          <w:b/>
        </w:rPr>
      </w:pPr>
    </w:p>
    <w:p w14:paraId="25B92D92" w14:textId="77777777" w:rsidR="00004EAD" w:rsidRPr="008633E1" w:rsidRDefault="00004EAD" w:rsidP="00004EAD">
      <w:pPr>
        <w:pStyle w:val="List3"/>
        <w:rPr>
          <w:b/>
        </w:rPr>
      </w:pPr>
      <w:proofErr w:type="gramStart"/>
      <w:r w:rsidRPr="008633E1">
        <w:rPr>
          <w:b/>
        </w:rPr>
        <w:lastRenderedPageBreak/>
        <w:t>(vi)</w:t>
      </w:r>
      <w:r w:rsidRPr="008633E1">
        <w:rPr>
          <w:b/>
        </w:rPr>
        <w:tab/>
        <w:t>The</w:t>
      </w:r>
      <w:proofErr w:type="gramEnd"/>
      <w:r w:rsidRPr="008633E1">
        <w:rPr>
          <w:b/>
        </w:rPr>
        <w:t xml:space="preserve"> variance must not be detrimental to any applicable Comprehensive Plan goals and policies. </w:t>
      </w:r>
    </w:p>
    <w:p w14:paraId="629691E7" w14:textId="77777777" w:rsidR="00004EAD" w:rsidRPr="008633E1" w:rsidRDefault="00004EAD" w:rsidP="0080470F">
      <w:pPr>
        <w:rPr>
          <w:rFonts w:cstheme="minorHAnsi"/>
          <w:b/>
          <w:color w:val="000000"/>
          <w:sz w:val="24"/>
          <w:szCs w:val="24"/>
        </w:rPr>
      </w:pPr>
    </w:p>
    <w:p w14:paraId="069025B0" w14:textId="5BFA5B93" w:rsidR="00004EAD" w:rsidRPr="008633E1" w:rsidRDefault="00F67D7B" w:rsidP="0080470F">
      <w:pPr>
        <w:rPr>
          <w:rFonts w:cstheme="minorHAnsi"/>
          <w:b/>
          <w:color w:val="000000"/>
          <w:szCs w:val="22"/>
        </w:rPr>
      </w:pPr>
      <w:r w:rsidRPr="008633E1">
        <w:rPr>
          <w:rFonts w:cstheme="minorHAnsi"/>
          <w:b/>
          <w:color w:val="000000"/>
          <w:szCs w:val="22"/>
          <w:u w:val="single"/>
        </w:rPr>
        <w:t>Finding</w:t>
      </w:r>
      <w:r w:rsidRPr="008633E1">
        <w:rPr>
          <w:rFonts w:cstheme="minorHAnsi"/>
          <w:b/>
          <w:color w:val="000000"/>
          <w:szCs w:val="22"/>
        </w:rPr>
        <w:t>:</w:t>
      </w:r>
    </w:p>
    <w:p w14:paraId="7061DC93" w14:textId="6C0FCF18" w:rsidR="00C34585" w:rsidRPr="008633E1" w:rsidRDefault="004C6990" w:rsidP="0080470F">
      <w:pPr>
        <w:rPr>
          <w:rFonts w:cstheme="minorHAnsi"/>
          <w:i/>
          <w:color w:val="000000"/>
          <w:szCs w:val="22"/>
        </w:rPr>
      </w:pPr>
      <w:r w:rsidRPr="008633E1">
        <w:rPr>
          <w:rFonts w:cstheme="minorHAnsi"/>
          <w:i/>
          <w:color w:val="000000"/>
          <w:szCs w:val="22"/>
        </w:rPr>
        <w:t xml:space="preserve">The applicant stated </w:t>
      </w:r>
      <w:r w:rsidR="00C34585" w:rsidRPr="008633E1">
        <w:rPr>
          <w:rFonts w:cstheme="minorHAnsi"/>
          <w:i/>
          <w:color w:val="000000"/>
          <w:szCs w:val="22"/>
        </w:rPr>
        <w:t>the proposed sign va</w:t>
      </w:r>
      <w:r w:rsidR="009B679F" w:rsidRPr="008633E1">
        <w:rPr>
          <w:rFonts w:cstheme="minorHAnsi"/>
          <w:i/>
          <w:color w:val="000000"/>
          <w:szCs w:val="22"/>
        </w:rPr>
        <w:t>riances would not cause detriment to</w:t>
      </w:r>
      <w:r w:rsidR="00C34585" w:rsidRPr="008633E1">
        <w:rPr>
          <w:rFonts w:cstheme="minorHAnsi"/>
          <w:i/>
          <w:color w:val="000000"/>
          <w:szCs w:val="22"/>
        </w:rPr>
        <w:t xml:space="preserve"> the applicable Comprehensive Plan goals and policies, but rather upholds and enhances the goals and policies. </w:t>
      </w:r>
    </w:p>
    <w:p w14:paraId="55B5E60E" w14:textId="3EDB8A69" w:rsidR="000128D7" w:rsidRPr="008633E1" w:rsidRDefault="000128D7" w:rsidP="0080470F">
      <w:pPr>
        <w:rPr>
          <w:rFonts w:cstheme="minorHAnsi"/>
          <w:i/>
          <w:color w:val="000000"/>
          <w:szCs w:val="22"/>
        </w:rPr>
      </w:pPr>
    </w:p>
    <w:p w14:paraId="5F4A9ADC" w14:textId="419CA14F" w:rsidR="00844940" w:rsidRPr="00637FA0" w:rsidRDefault="00F64B77" w:rsidP="00844940">
      <w:pPr>
        <w:overflowPunct/>
        <w:autoSpaceDE/>
        <w:autoSpaceDN/>
        <w:adjustRightInd/>
        <w:textAlignment w:val="auto"/>
        <w:rPr>
          <w:rFonts w:cs="Calibri"/>
          <w:color w:val="0070C0"/>
          <w:szCs w:val="22"/>
        </w:rPr>
      </w:pPr>
      <w:r w:rsidRPr="008633E1">
        <w:rPr>
          <w:rFonts w:cstheme="minorHAnsi"/>
          <w:i/>
          <w:color w:val="000000"/>
          <w:szCs w:val="22"/>
        </w:rPr>
        <w:t xml:space="preserve">On </w:t>
      </w:r>
      <w:r w:rsidR="003C12A1" w:rsidRPr="008633E1">
        <w:rPr>
          <w:rFonts w:cstheme="minorHAnsi"/>
          <w:i/>
          <w:color w:val="000000"/>
          <w:szCs w:val="22"/>
        </w:rPr>
        <w:t>Page 5</w:t>
      </w:r>
      <w:r w:rsidRPr="008633E1">
        <w:rPr>
          <w:rFonts w:cstheme="minorHAnsi"/>
          <w:i/>
          <w:color w:val="000000"/>
          <w:szCs w:val="22"/>
        </w:rPr>
        <w:t xml:space="preserve"> of the submitted </w:t>
      </w:r>
      <w:r w:rsidR="000128D7" w:rsidRPr="008633E1">
        <w:rPr>
          <w:rFonts w:cstheme="minorHAnsi"/>
          <w:i/>
          <w:color w:val="000000"/>
          <w:szCs w:val="22"/>
        </w:rPr>
        <w:t xml:space="preserve">narrative </w:t>
      </w:r>
      <w:r w:rsidRPr="008633E1">
        <w:rPr>
          <w:rFonts w:cstheme="minorHAnsi"/>
          <w:i/>
          <w:color w:val="000000"/>
          <w:szCs w:val="22"/>
        </w:rPr>
        <w:t>(</w:t>
      </w:r>
      <w:r w:rsidR="003C12A1" w:rsidRPr="008633E1">
        <w:rPr>
          <w:rFonts w:cstheme="minorHAnsi"/>
          <w:i/>
          <w:color w:val="000000"/>
          <w:szCs w:val="22"/>
        </w:rPr>
        <w:t>Exhibit A</w:t>
      </w:r>
      <w:r w:rsidRPr="008633E1">
        <w:rPr>
          <w:rFonts w:cstheme="minorHAnsi"/>
          <w:i/>
          <w:color w:val="000000"/>
          <w:szCs w:val="22"/>
        </w:rPr>
        <w:t xml:space="preserve">) the applicant </w:t>
      </w:r>
      <w:r w:rsidR="0040679A" w:rsidRPr="008633E1">
        <w:rPr>
          <w:rFonts w:cstheme="minorHAnsi"/>
          <w:i/>
          <w:color w:val="000000"/>
          <w:szCs w:val="22"/>
        </w:rPr>
        <w:t>cited dated policies of the Comprehensive Plan</w:t>
      </w:r>
      <w:r w:rsidR="00E7229C" w:rsidRPr="008633E1">
        <w:rPr>
          <w:rFonts w:cstheme="minorHAnsi"/>
          <w:i/>
          <w:color w:val="000000"/>
          <w:szCs w:val="22"/>
        </w:rPr>
        <w:t xml:space="preserve">. </w:t>
      </w:r>
      <w:r w:rsidR="00E7229C" w:rsidRPr="008633E1">
        <w:rPr>
          <w:rFonts w:cs="Calibri"/>
          <w:i/>
          <w:color w:val="000000" w:themeColor="text1"/>
          <w:szCs w:val="22"/>
        </w:rPr>
        <w:t xml:space="preserve">The </w:t>
      </w:r>
      <w:r w:rsidR="00AA7C8E" w:rsidRPr="008633E1">
        <w:rPr>
          <w:rFonts w:cs="Calibri"/>
          <w:i/>
          <w:color w:val="000000" w:themeColor="text1"/>
          <w:szCs w:val="22"/>
        </w:rPr>
        <w:t>a</w:t>
      </w:r>
      <w:r w:rsidR="00EC70D0" w:rsidRPr="008633E1">
        <w:rPr>
          <w:rFonts w:cs="Calibri"/>
          <w:i/>
          <w:color w:val="000000" w:themeColor="text1"/>
          <w:szCs w:val="22"/>
        </w:rPr>
        <w:t xml:space="preserve">pplicant referenced </w:t>
      </w:r>
      <w:r w:rsidR="005652AD" w:rsidRPr="008633E1">
        <w:rPr>
          <w:rFonts w:cs="Calibri"/>
          <w:i/>
          <w:color w:val="000000" w:themeColor="text1"/>
          <w:szCs w:val="22"/>
        </w:rPr>
        <w:t>enhancing the quality of streetscapes, architecture, landscaping, and urban character</w:t>
      </w:r>
      <w:r w:rsidR="00844940" w:rsidRPr="008633E1">
        <w:rPr>
          <w:rFonts w:cs="Calibri"/>
          <w:i/>
          <w:color w:val="000000" w:themeColor="text1"/>
          <w:szCs w:val="22"/>
        </w:rPr>
        <w:t>. The narrative stated the Cabela’s/Bass Pro Shops development was approved as part of an Architectural Review Board decision, Architectural Review 13-07 (</w:t>
      </w:r>
      <w:r w:rsidR="003C12A1" w:rsidRPr="008633E1">
        <w:rPr>
          <w:rFonts w:cs="Calibri"/>
          <w:i/>
          <w:color w:val="000000" w:themeColor="text1"/>
          <w:szCs w:val="22"/>
        </w:rPr>
        <w:t>Exhibit F</w:t>
      </w:r>
      <w:r w:rsidR="00844940" w:rsidRPr="008633E1">
        <w:rPr>
          <w:rFonts w:cs="Calibri"/>
          <w:i/>
          <w:color w:val="000000" w:themeColor="text1"/>
          <w:szCs w:val="22"/>
        </w:rPr>
        <w:t>). Through the review the Nyberg Rivers shopping center resulted in high quality architectural features, streetscapes, and met the Tualatin Development Code approval criteria at the time of decision which prote</w:t>
      </w:r>
      <w:r w:rsidR="00844940">
        <w:rPr>
          <w:rFonts w:cs="Calibri"/>
          <w:i/>
          <w:color w:val="000000" w:themeColor="text1"/>
          <w:szCs w:val="22"/>
        </w:rPr>
        <w:t xml:space="preserve">cted and enhanced the urban character of Tualatin. </w:t>
      </w:r>
      <w:r w:rsidR="006F0D01">
        <w:rPr>
          <w:rFonts w:cs="Calibri"/>
          <w:i/>
          <w:color w:val="000000" w:themeColor="text1"/>
          <w:szCs w:val="22"/>
        </w:rPr>
        <w:t>The applicant noted the</w:t>
      </w:r>
      <w:r w:rsidR="006F0D01" w:rsidRPr="006F0D01">
        <w:rPr>
          <w:rFonts w:cs="Calibri"/>
          <w:i/>
          <w:color w:val="000000" w:themeColor="text1"/>
          <w:szCs w:val="22"/>
        </w:rPr>
        <w:t xml:space="preserve"> </w:t>
      </w:r>
      <w:r w:rsidR="009421B1">
        <w:rPr>
          <w:rFonts w:cs="Calibri"/>
          <w:i/>
          <w:color w:val="000000" w:themeColor="text1"/>
          <w:szCs w:val="22"/>
        </w:rPr>
        <w:t>proposed signage would be wel</w:t>
      </w:r>
      <w:r w:rsidR="00844940" w:rsidRPr="006F0D01">
        <w:rPr>
          <w:rFonts w:cs="Calibri"/>
          <w:i/>
          <w:color w:val="000000" w:themeColor="text1"/>
          <w:szCs w:val="22"/>
        </w:rPr>
        <w:t xml:space="preserve">l integrated into the façade of the approved building and is part of the quality architecture and streetscape that was approved under the master </w:t>
      </w:r>
      <w:r w:rsidR="006F0D01" w:rsidRPr="006F0D01">
        <w:rPr>
          <w:rFonts w:cs="Calibri"/>
          <w:i/>
          <w:color w:val="000000" w:themeColor="text1"/>
          <w:szCs w:val="22"/>
        </w:rPr>
        <w:t xml:space="preserve">plan in further support of the design objectives. </w:t>
      </w:r>
    </w:p>
    <w:p w14:paraId="1ED207AE" w14:textId="00288CDC" w:rsidR="00844940" w:rsidRDefault="00844940" w:rsidP="005652AD">
      <w:pPr>
        <w:overflowPunct/>
        <w:autoSpaceDE/>
        <w:autoSpaceDN/>
        <w:adjustRightInd/>
        <w:textAlignment w:val="auto"/>
        <w:rPr>
          <w:rFonts w:cs="Calibri"/>
          <w:i/>
          <w:color w:val="000000" w:themeColor="text1"/>
          <w:szCs w:val="22"/>
        </w:rPr>
      </w:pPr>
    </w:p>
    <w:p w14:paraId="4DEFA169" w14:textId="4BA408AA" w:rsidR="00844940" w:rsidRDefault="006F0D01" w:rsidP="005652AD">
      <w:pPr>
        <w:overflowPunct/>
        <w:autoSpaceDE/>
        <w:autoSpaceDN/>
        <w:adjustRightInd/>
        <w:textAlignment w:val="auto"/>
        <w:rPr>
          <w:rFonts w:cs="Calibri"/>
          <w:i/>
          <w:color w:val="000000" w:themeColor="text1"/>
          <w:szCs w:val="22"/>
        </w:rPr>
      </w:pPr>
      <w:r>
        <w:rPr>
          <w:rFonts w:cs="Calibri"/>
          <w:i/>
          <w:color w:val="000000" w:themeColor="text1"/>
          <w:szCs w:val="22"/>
        </w:rPr>
        <w:t xml:space="preserve">The applicant also discussed protecting and enhancing the City’s economy and property values. The narrative stated the requested sign variances are the minimal remedy necessary to allow for the commercial signage for Cabela’s/Bass Pro Shops to have visibility from the surrounding road system. The applicant discussed how visible signage contributes to the protection and enhancement of commercial property values. The narrative concluded that the increased signage would help ensure the commercial success of a major store at the Nyberg Rivers shopping center and would in turn protect and enhance the property value of other retailers in the vicinity and contribute to the City’s economy. </w:t>
      </w:r>
    </w:p>
    <w:p w14:paraId="1A73EFE3" w14:textId="77777777" w:rsidR="006F0D01" w:rsidRDefault="006F0D01" w:rsidP="006F0D01">
      <w:pPr>
        <w:overflowPunct/>
        <w:autoSpaceDE/>
        <w:autoSpaceDN/>
        <w:adjustRightInd/>
        <w:textAlignment w:val="auto"/>
        <w:rPr>
          <w:rFonts w:cs="Calibri"/>
          <w:color w:val="0070C0"/>
          <w:szCs w:val="22"/>
        </w:rPr>
      </w:pPr>
    </w:p>
    <w:p w14:paraId="0DFBDFCB" w14:textId="420A4934" w:rsidR="00AA7C8E" w:rsidRDefault="00A50A9B" w:rsidP="0080470F">
      <w:pPr>
        <w:rPr>
          <w:i/>
        </w:rPr>
      </w:pPr>
      <w:r w:rsidRPr="00F64B77">
        <w:rPr>
          <w:i/>
        </w:rPr>
        <w:t>City staff noted the Tuala</w:t>
      </w:r>
      <w:r w:rsidR="00B45006">
        <w:rPr>
          <w:i/>
        </w:rPr>
        <w:t xml:space="preserve">tin Comprehensive Plan </w:t>
      </w:r>
      <w:r w:rsidRPr="00F64B77">
        <w:rPr>
          <w:i/>
        </w:rPr>
        <w:t>goals</w:t>
      </w:r>
      <w:r w:rsidR="00F64B77" w:rsidRPr="00F64B77">
        <w:rPr>
          <w:i/>
        </w:rPr>
        <w:t xml:space="preserve"> and</w:t>
      </w:r>
      <w:r w:rsidRPr="00F64B77">
        <w:rPr>
          <w:i/>
        </w:rPr>
        <w:t xml:space="preserve"> policies below as applicable to the deciding body’s decision making. </w:t>
      </w:r>
    </w:p>
    <w:p w14:paraId="26EBF901" w14:textId="77777777" w:rsidR="00F64B77" w:rsidRPr="00F64B77" w:rsidRDefault="00F64B77" w:rsidP="0080470F">
      <w:pPr>
        <w:rPr>
          <w:i/>
        </w:rPr>
      </w:pPr>
    </w:p>
    <w:p w14:paraId="189AEEBE" w14:textId="77777777" w:rsidR="00AA7C8E" w:rsidRPr="00F64B77" w:rsidRDefault="00AA7C8E" w:rsidP="00A50A9B">
      <w:pPr>
        <w:pStyle w:val="ListParagraph"/>
        <w:numPr>
          <w:ilvl w:val="0"/>
          <w:numId w:val="24"/>
        </w:numPr>
        <w:rPr>
          <w:i/>
        </w:rPr>
      </w:pPr>
      <w:r w:rsidRPr="00F64B77">
        <w:rPr>
          <w:i/>
        </w:rPr>
        <w:t xml:space="preserve">GOAL 2.3 Balance the right of free speech, business needs, public wayfinding, safety for all modes, and diverse aesthetic interests, through a functional sign regulation program. </w:t>
      </w:r>
    </w:p>
    <w:p w14:paraId="194055BA" w14:textId="77777777" w:rsidR="00A50A9B" w:rsidRPr="00F64B77" w:rsidRDefault="00AA7C8E" w:rsidP="00A50A9B">
      <w:pPr>
        <w:pStyle w:val="ListParagraph"/>
        <w:numPr>
          <w:ilvl w:val="1"/>
          <w:numId w:val="24"/>
        </w:numPr>
        <w:rPr>
          <w:i/>
        </w:rPr>
      </w:pPr>
      <w:r w:rsidRPr="00F64B77">
        <w:rPr>
          <w:i/>
        </w:rPr>
        <w:t xml:space="preserve">POLICY 2.3.1 Protect public health and safety by limiting distracting signs, ensuring that signs do not interfere with multi-modal transportation safety, and ensuring safe construction and installation of signs. </w:t>
      </w:r>
    </w:p>
    <w:p w14:paraId="6931A50A" w14:textId="77777777" w:rsidR="00A50A9B" w:rsidRPr="00F64B77" w:rsidRDefault="00AA7C8E" w:rsidP="0080470F">
      <w:pPr>
        <w:pStyle w:val="ListParagraph"/>
        <w:numPr>
          <w:ilvl w:val="1"/>
          <w:numId w:val="24"/>
        </w:numPr>
        <w:rPr>
          <w:i/>
        </w:rPr>
      </w:pPr>
      <w:r w:rsidRPr="00F64B77">
        <w:rPr>
          <w:i/>
        </w:rPr>
        <w:t xml:space="preserve">POLICY 2.3.2 Align the range of allowed sign types with the urban design context, such as additional small signs in pedestrian-oriented development areas. </w:t>
      </w:r>
    </w:p>
    <w:p w14:paraId="773C9E7D" w14:textId="71A9AA1E" w:rsidR="00AA7C8E" w:rsidRDefault="00AA7C8E" w:rsidP="0080470F">
      <w:pPr>
        <w:pStyle w:val="ListParagraph"/>
        <w:numPr>
          <w:ilvl w:val="1"/>
          <w:numId w:val="24"/>
        </w:numPr>
        <w:rPr>
          <w:i/>
        </w:rPr>
      </w:pPr>
      <w:r w:rsidRPr="00F64B77">
        <w:rPr>
          <w:i/>
        </w:rPr>
        <w:t>POLICY 2.3.3 Encourage attractive, creative, and unique sign types through the City’s review program. Encourage the improvement and maintenance of non-conforming signs</w:t>
      </w:r>
      <w:r w:rsidR="00F64B77" w:rsidRPr="00F64B77">
        <w:rPr>
          <w:i/>
        </w:rPr>
        <w:t xml:space="preserve">. </w:t>
      </w:r>
    </w:p>
    <w:p w14:paraId="03A45E12" w14:textId="77777777" w:rsidR="00F64B77" w:rsidRDefault="00F64B77" w:rsidP="00F64B77">
      <w:pPr>
        <w:rPr>
          <w:i/>
        </w:rPr>
      </w:pPr>
    </w:p>
    <w:p w14:paraId="71B33EAE" w14:textId="7EA8EA6F" w:rsidR="00B57664" w:rsidRDefault="00F64B77" w:rsidP="00112655">
      <w:pPr>
        <w:rPr>
          <w:i/>
        </w:rPr>
      </w:pPr>
      <w:r>
        <w:rPr>
          <w:i/>
        </w:rPr>
        <w:t>Signs submitted to the city are reviewed for compliance against</w:t>
      </w:r>
      <w:r w:rsidR="00C20B4F">
        <w:rPr>
          <w:i/>
        </w:rPr>
        <w:t xml:space="preserve"> the sign standards of Tualatin </w:t>
      </w:r>
      <w:r>
        <w:rPr>
          <w:i/>
        </w:rPr>
        <w:t xml:space="preserve">Development Code Chapter 38. </w:t>
      </w:r>
      <w:r w:rsidR="00D6276A">
        <w:rPr>
          <w:i/>
        </w:rPr>
        <w:t xml:space="preserve">Legal nonconforming signs are reviewed for compliance against TDC 35.200. </w:t>
      </w:r>
    </w:p>
    <w:p w14:paraId="46AE21E7" w14:textId="77777777" w:rsidR="00C20B4F" w:rsidRPr="00112655" w:rsidRDefault="00C20B4F" w:rsidP="00112655">
      <w:pPr>
        <w:rPr>
          <w:i/>
        </w:rPr>
      </w:pPr>
    </w:p>
    <w:p w14:paraId="72960EDD" w14:textId="77777777" w:rsidR="00697BAC" w:rsidRDefault="00D56FA4" w:rsidP="00697BAC">
      <w:pPr>
        <w:pStyle w:val="Heading1"/>
      </w:pPr>
      <w:r>
        <w:t>Chapter 38: Sign Regulations</w:t>
      </w:r>
      <w:bookmarkStart w:id="10" w:name="_Toc11159276"/>
      <w:bookmarkStart w:id="11" w:name="_Toc56073807"/>
    </w:p>
    <w:p w14:paraId="56CE132F" w14:textId="762B34D0" w:rsidR="00680A79" w:rsidRPr="00697BAC" w:rsidRDefault="00680A79" w:rsidP="00FC31F4">
      <w:pPr>
        <w:pStyle w:val="Heading1"/>
      </w:pPr>
      <w:r w:rsidRPr="00680A79">
        <w:rPr>
          <w:rFonts w:cstheme="minorHAnsi"/>
          <w:sz w:val="22"/>
          <w:szCs w:val="22"/>
          <w:u w:val="single"/>
        </w:rPr>
        <w:t>Section 38.100 - General Provisions</w:t>
      </w:r>
      <w:r w:rsidRPr="00680A79">
        <w:rPr>
          <w:rFonts w:cstheme="minorHAnsi"/>
          <w:sz w:val="22"/>
          <w:szCs w:val="22"/>
        </w:rPr>
        <w:t>.</w:t>
      </w:r>
    </w:p>
    <w:p w14:paraId="3AC2D342" w14:textId="77777777" w:rsidR="00680A79" w:rsidRPr="00926FDA" w:rsidRDefault="00680A79" w:rsidP="00FC31F4">
      <w:pPr>
        <w:pStyle w:val="List1"/>
        <w:spacing w:before="0" w:after="0"/>
        <w:rPr>
          <w:rFonts w:asciiTheme="minorHAnsi" w:hAnsiTheme="minorHAnsi" w:cstheme="minorHAnsi"/>
          <w:b/>
          <w:sz w:val="22"/>
          <w:szCs w:val="22"/>
        </w:rPr>
      </w:pPr>
      <w:r w:rsidRPr="00926FDA">
        <w:rPr>
          <w:rFonts w:asciiTheme="minorHAnsi" w:hAnsiTheme="minorHAnsi" w:cstheme="minorHAnsi"/>
          <w:b/>
          <w:sz w:val="22"/>
          <w:szCs w:val="22"/>
        </w:rPr>
        <w:t>(1)</w:t>
      </w:r>
      <w:r w:rsidRPr="00926FDA">
        <w:rPr>
          <w:rFonts w:asciiTheme="minorHAnsi" w:hAnsiTheme="minorHAnsi" w:cstheme="minorHAnsi"/>
          <w:b/>
          <w:sz w:val="22"/>
          <w:szCs w:val="22"/>
        </w:rPr>
        <w:tab/>
      </w:r>
      <w:r w:rsidRPr="00926FDA">
        <w:rPr>
          <w:rFonts w:asciiTheme="minorHAnsi" w:hAnsiTheme="minorHAnsi" w:cstheme="minorHAnsi"/>
          <w:b/>
          <w:i/>
          <w:sz w:val="22"/>
          <w:szCs w:val="22"/>
        </w:rPr>
        <w:t>Location.</w:t>
      </w:r>
      <w:r w:rsidRPr="00926FDA">
        <w:rPr>
          <w:rFonts w:asciiTheme="minorHAnsi" w:hAnsiTheme="minorHAnsi" w:cstheme="minorHAnsi"/>
          <w:b/>
          <w:sz w:val="22"/>
          <w:szCs w:val="22"/>
        </w:rPr>
        <w:t xml:space="preserve"> Except for traffic control devices, public signs and special event banner signs, signs shall be located on private property outside of the public right-of-way and shall not extend over or </w:t>
      </w:r>
      <w:r w:rsidRPr="00926FDA">
        <w:rPr>
          <w:rFonts w:asciiTheme="minorHAnsi" w:hAnsiTheme="minorHAnsi" w:cstheme="minorHAnsi"/>
          <w:b/>
          <w:sz w:val="22"/>
          <w:szCs w:val="22"/>
        </w:rPr>
        <w:lastRenderedPageBreak/>
        <w:t xml:space="preserve">into the public right-of-way. Signs shall not be constructed in or extend over or into easements for public sewer, water or storm drain lines or within five feet of such lines, or within the dripline of existing trees. Shingle signs in the Central Tualatin </w:t>
      </w:r>
      <w:proofErr w:type="spellStart"/>
      <w:r w:rsidRPr="00926FDA">
        <w:rPr>
          <w:rFonts w:asciiTheme="minorHAnsi" w:hAnsiTheme="minorHAnsi" w:cstheme="minorHAnsi"/>
          <w:b/>
          <w:sz w:val="22"/>
          <w:szCs w:val="22"/>
        </w:rPr>
        <w:t>Overay</w:t>
      </w:r>
      <w:proofErr w:type="spellEnd"/>
      <w:r w:rsidRPr="00926FDA">
        <w:rPr>
          <w:rFonts w:asciiTheme="minorHAnsi" w:hAnsiTheme="minorHAnsi" w:cstheme="minorHAnsi"/>
          <w:b/>
          <w:sz w:val="22"/>
          <w:szCs w:val="22"/>
        </w:rPr>
        <w:t xml:space="preserve"> District may extend over the publicly owned promenade, public sidewalks and private walkways. </w:t>
      </w:r>
    </w:p>
    <w:p w14:paraId="5F2F5501" w14:textId="77777777" w:rsidR="00680A79" w:rsidRPr="00926FDA" w:rsidRDefault="00680A79" w:rsidP="00FC31F4">
      <w:pPr>
        <w:pStyle w:val="List1"/>
        <w:spacing w:before="0" w:after="0"/>
        <w:rPr>
          <w:rFonts w:asciiTheme="minorHAnsi" w:hAnsiTheme="minorHAnsi" w:cstheme="minorHAnsi"/>
          <w:b/>
          <w:sz w:val="22"/>
          <w:szCs w:val="22"/>
        </w:rPr>
      </w:pPr>
      <w:r w:rsidRPr="00926FDA">
        <w:rPr>
          <w:rFonts w:asciiTheme="minorHAnsi" w:hAnsiTheme="minorHAnsi" w:cstheme="minorHAnsi"/>
          <w:b/>
          <w:sz w:val="22"/>
          <w:szCs w:val="22"/>
        </w:rPr>
        <w:t>(2)</w:t>
      </w:r>
      <w:r w:rsidRPr="00926FDA">
        <w:rPr>
          <w:rFonts w:asciiTheme="minorHAnsi" w:hAnsiTheme="minorHAnsi" w:cstheme="minorHAnsi"/>
          <w:b/>
          <w:sz w:val="22"/>
          <w:szCs w:val="22"/>
        </w:rPr>
        <w:tab/>
      </w:r>
      <w:r w:rsidRPr="00926FDA">
        <w:rPr>
          <w:rFonts w:asciiTheme="minorHAnsi" w:hAnsiTheme="minorHAnsi" w:cstheme="minorHAnsi"/>
          <w:b/>
          <w:i/>
          <w:sz w:val="22"/>
          <w:szCs w:val="22"/>
        </w:rPr>
        <w:t>Vision Clearance Area.</w:t>
      </w:r>
      <w:r w:rsidRPr="00926FDA">
        <w:rPr>
          <w:rFonts w:asciiTheme="minorHAnsi" w:hAnsiTheme="minorHAnsi" w:cstheme="minorHAnsi"/>
          <w:b/>
          <w:sz w:val="22"/>
          <w:szCs w:val="22"/>
        </w:rPr>
        <w:t xml:space="preserve"> Signs may be located in vision clearance areas provided they do not extend into the space from higher than 24 inches above the curb, or if no curb exists from higher than 30 inches above grade, to lower than eight feet above the curb or grade, except as noted below in this subsection. Support structures, such as posts, for freestanding signs which extend higher than eight feet above grade may be located in a vision clearance area only if the combined total width of the support structures in the vision clearance area is one foot or less and the combined total depth of support structures in the vision clearance area is one foot or less. </w:t>
      </w:r>
    </w:p>
    <w:p w14:paraId="35DCF2E3" w14:textId="77777777" w:rsidR="00680A79" w:rsidRPr="00926FDA" w:rsidRDefault="00680A79" w:rsidP="00FC31F4">
      <w:pPr>
        <w:pStyle w:val="List1"/>
        <w:spacing w:before="0" w:after="0"/>
        <w:rPr>
          <w:rFonts w:asciiTheme="minorHAnsi" w:hAnsiTheme="minorHAnsi" w:cstheme="minorHAnsi"/>
          <w:b/>
          <w:sz w:val="22"/>
          <w:szCs w:val="22"/>
        </w:rPr>
      </w:pPr>
      <w:r w:rsidRPr="00926FDA">
        <w:rPr>
          <w:rFonts w:asciiTheme="minorHAnsi" w:hAnsiTheme="minorHAnsi" w:cstheme="minorHAnsi"/>
          <w:b/>
          <w:sz w:val="22"/>
          <w:szCs w:val="22"/>
        </w:rPr>
        <w:t>(3)</w:t>
      </w:r>
      <w:r w:rsidRPr="00926FDA">
        <w:rPr>
          <w:rFonts w:asciiTheme="minorHAnsi" w:hAnsiTheme="minorHAnsi" w:cstheme="minorHAnsi"/>
          <w:b/>
          <w:sz w:val="22"/>
          <w:szCs w:val="22"/>
        </w:rPr>
        <w:tab/>
      </w:r>
      <w:r w:rsidRPr="00926FDA">
        <w:rPr>
          <w:rFonts w:asciiTheme="minorHAnsi" w:hAnsiTheme="minorHAnsi" w:cstheme="minorHAnsi"/>
          <w:b/>
          <w:i/>
          <w:sz w:val="22"/>
          <w:szCs w:val="22"/>
        </w:rPr>
        <w:t>Pedestrian Area Clearance.</w:t>
      </w:r>
      <w:r w:rsidRPr="00926FDA">
        <w:rPr>
          <w:rFonts w:asciiTheme="minorHAnsi" w:hAnsiTheme="minorHAnsi" w:cstheme="minorHAnsi"/>
          <w:b/>
          <w:sz w:val="22"/>
          <w:szCs w:val="22"/>
        </w:rPr>
        <w:t xml:space="preserve"> Signs erected over or extending over private or public pedestrian walkways or paths shall provide a vertical clearance of at least eight feet from the surface of the walkway or path to the lowest portion of the sign. </w:t>
      </w:r>
    </w:p>
    <w:p w14:paraId="785EBB0A" w14:textId="77777777" w:rsidR="00680A79" w:rsidRPr="00926FDA" w:rsidRDefault="00680A79" w:rsidP="00FC31F4">
      <w:pPr>
        <w:pStyle w:val="List1"/>
        <w:spacing w:before="0" w:after="0"/>
        <w:rPr>
          <w:rFonts w:asciiTheme="minorHAnsi" w:hAnsiTheme="minorHAnsi" w:cstheme="minorHAnsi"/>
          <w:b/>
          <w:sz w:val="22"/>
          <w:szCs w:val="22"/>
        </w:rPr>
      </w:pPr>
      <w:r w:rsidRPr="00926FDA">
        <w:rPr>
          <w:rFonts w:asciiTheme="minorHAnsi" w:hAnsiTheme="minorHAnsi" w:cstheme="minorHAnsi"/>
          <w:b/>
          <w:sz w:val="22"/>
          <w:szCs w:val="22"/>
        </w:rPr>
        <w:t>(4)</w:t>
      </w:r>
      <w:r w:rsidRPr="00926FDA">
        <w:rPr>
          <w:rFonts w:asciiTheme="minorHAnsi" w:hAnsiTheme="minorHAnsi" w:cstheme="minorHAnsi"/>
          <w:b/>
          <w:sz w:val="22"/>
          <w:szCs w:val="22"/>
        </w:rPr>
        <w:tab/>
      </w:r>
      <w:r w:rsidRPr="00926FDA">
        <w:rPr>
          <w:rFonts w:asciiTheme="minorHAnsi" w:hAnsiTheme="minorHAnsi" w:cstheme="minorHAnsi"/>
          <w:b/>
          <w:i/>
          <w:sz w:val="22"/>
          <w:szCs w:val="22"/>
        </w:rPr>
        <w:t>Signs Incorporated Into Fences.</w:t>
      </w:r>
      <w:r w:rsidRPr="00926FDA">
        <w:rPr>
          <w:rFonts w:asciiTheme="minorHAnsi" w:hAnsiTheme="minorHAnsi" w:cstheme="minorHAnsi"/>
          <w:b/>
          <w:sz w:val="22"/>
          <w:szCs w:val="22"/>
        </w:rPr>
        <w:t xml:space="preserve"> Except for signs at subdivision entrances located in a private tract median island within a public right-of-way, monument signs may be affixed to and be part of a masonry fence. Pole signs shall be affixed only to the ground. </w:t>
      </w:r>
    </w:p>
    <w:p w14:paraId="653A60E6" w14:textId="77777777" w:rsidR="00680A79" w:rsidRPr="00926FDA" w:rsidRDefault="00680A79" w:rsidP="00FC31F4">
      <w:pPr>
        <w:pStyle w:val="List1"/>
        <w:spacing w:before="0" w:after="0"/>
        <w:rPr>
          <w:rFonts w:asciiTheme="minorHAnsi" w:hAnsiTheme="minorHAnsi" w:cstheme="minorHAnsi"/>
          <w:b/>
          <w:sz w:val="22"/>
          <w:szCs w:val="22"/>
        </w:rPr>
      </w:pPr>
      <w:r w:rsidRPr="00926FDA">
        <w:rPr>
          <w:rFonts w:asciiTheme="minorHAnsi" w:hAnsiTheme="minorHAnsi" w:cstheme="minorHAnsi"/>
          <w:b/>
          <w:sz w:val="22"/>
          <w:szCs w:val="22"/>
        </w:rPr>
        <w:t>(5)</w:t>
      </w:r>
      <w:r w:rsidRPr="00926FDA">
        <w:rPr>
          <w:rFonts w:asciiTheme="minorHAnsi" w:hAnsiTheme="minorHAnsi" w:cstheme="minorHAnsi"/>
          <w:b/>
          <w:sz w:val="22"/>
          <w:szCs w:val="22"/>
        </w:rPr>
        <w:tab/>
      </w:r>
      <w:r w:rsidRPr="00926FDA">
        <w:rPr>
          <w:rFonts w:asciiTheme="minorHAnsi" w:hAnsiTheme="minorHAnsi" w:cstheme="minorHAnsi"/>
          <w:b/>
          <w:i/>
          <w:sz w:val="22"/>
          <w:szCs w:val="22"/>
        </w:rPr>
        <w:t>Copy.</w:t>
      </w:r>
      <w:r w:rsidRPr="00926FDA">
        <w:rPr>
          <w:rFonts w:asciiTheme="minorHAnsi" w:hAnsiTheme="minorHAnsi" w:cstheme="minorHAnsi"/>
          <w:b/>
          <w:sz w:val="22"/>
          <w:szCs w:val="22"/>
        </w:rPr>
        <w:t xml:space="preserve"> Copy shall be placed only on the sign face. </w:t>
      </w:r>
    </w:p>
    <w:p w14:paraId="0BA4318C" w14:textId="77777777" w:rsidR="00680A79" w:rsidRPr="00926FDA" w:rsidRDefault="00680A79" w:rsidP="00FC31F4">
      <w:pPr>
        <w:pStyle w:val="List1"/>
        <w:spacing w:before="0" w:after="0"/>
        <w:rPr>
          <w:rFonts w:asciiTheme="minorHAnsi" w:hAnsiTheme="minorHAnsi" w:cstheme="minorHAnsi"/>
          <w:b/>
          <w:sz w:val="22"/>
          <w:szCs w:val="22"/>
        </w:rPr>
      </w:pPr>
      <w:r w:rsidRPr="00926FDA">
        <w:rPr>
          <w:rFonts w:asciiTheme="minorHAnsi" w:hAnsiTheme="minorHAnsi" w:cstheme="minorHAnsi"/>
          <w:b/>
          <w:sz w:val="22"/>
          <w:szCs w:val="22"/>
        </w:rPr>
        <w:t>(6)</w:t>
      </w:r>
      <w:r w:rsidRPr="00926FDA">
        <w:rPr>
          <w:rFonts w:asciiTheme="minorHAnsi" w:hAnsiTheme="minorHAnsi" w:cstheme="minorHAnsi"/>
          <w:b/>
          <w:sz w:val="22"/>
          <w:szCs w:val="22"/>
        </w:rPr>
        <w:tab/>
      </w:r>
      <w:r w:rsidRPr="00926FDA">
        <w:rPr>
          <w:rFonts w:asciiTheme="minorHAnsi" w:hAnsiTheme="minorHAnsi" w:cstheme="minorHAnsi"/>
          <w:b/>
          <w:i/>
          <w:sz w:val="22"/>
          <w:szCs w:val="22"/>
        </w:rPr>
        <w:t>Dedication for Right-of-Way.</w:t>
      </w:r>
      <w:r w:rsidRPr="00926FDA">
        <w:rPr>
          <w:rFonts w:asciiTheme="minorHAnsi" w:hAnsiTheme="minorHAnsi" w:cstheme="minorHAnsi"/>
          <w:b/>
          <w:sz w:val="22"/>
          <w:szCs w:val="22"/>
        </w:rPr>
        <w:t xml:space="preserve"> Signs and their structures and foundations shall be removed from property subject to dedication to the public before such dedication shall be accepted by the City. </w:t>
      </w:r>
    </w:p>
    <w:p w14:paraId="350D811B" w14:textId="77777777" w:rsidR="00680A79" w:rsidRPr="00926FDA" w:rsidRDefault="00680A79" w:rsidP="00FC31F4">
      <w:pPr>
        <w:pStyle w:val="List1"/>
        <w:spacing w:before="0" w:after="0"/>
        <w:rPr>
          <w:rFonts w:asciiTheme="minorHAnsi" w:hAnsiTheme="minorHAnsi" w:cstheme="minorHAnsi"/>
          <w:b/>
          <w:sz w:val="22"/>
          <w:szCs w:val="22"/>
        </w:rPr>
      </w:pPr>
      <w:r w:rsidRPr="00926FDA">
        <w:rPr>
          <w:rFonts w:asciiTheme="minorHAnsi" w:hAnsiTheme="minorHAnsi" w:cstheme="minorHAnsi"/>
          <w:b/>
          <w:sz w:val="22"/>
          <w:szCs w:val="22"/>
        </w:rPr>
        <w:t>(7)</w:t>
      </w:r>
      <w:r w:rsidRPr="00926FDA">
        <w:rPr>
          <w:rFonts w:asciiTheme="minorHAnsi" w:hAnsiTheme="minorHAnsi" w:cstheme="minorHAnsi"/>
          <w:b/>
          <w:sz w:val="22"/>
          <w:szCs w:val="22"/>
        </w:rPr>
        <w:tab/>
      </w:r>
      <w:r w:rsidRPr="00926FDA">
        <w:rPr>
          <w:rFonts w:asciiTheme="minorHAnsi" w:hAnsiTheme="minorHAnsi" w:cstheme="minorHAnsi"/>
          <w:b/>
          <w:i/>
          <w:sz w:val="22"/>
          <w:szCs w:val="22"/>
        </w:rPr>
        <w:t>Illumination.</w:t>
      </w:r>
    </w:p>
    <w:p w14:paraId="621EB9F4" w14:textId="77777777" w:rsidR="00680A79" w:rsidRPr="00926FDA" w:rsidRDefault="00680A79" w:rsidP="00FC31F4">
      <w:pPr>
        <w:pStyle w:val="List2"/>
        <w:rPr>
          <w:rFonts w:asciiTheme="minorHAnsi" w:hAnsiTheme="minorHAnsi" w:cstheme="minorHAnsi"/>
          <w:b/>
          <w:szCs w:val="22"/>
        </w:rPr>
      </w:pPr>
      <w:r w:rsidRPr="00926FDA">
        <w:rPr>
          <w:rFonts w:asciiTheme="minorHAnsi" w:hAnsiTheme="minorHAnsi" w:cstheme="minorHAnsi"/>
          <w:b/>
          <w:szCs w:val="22"/>
        </w:rPr>
        <w:t>(a)</w:t>
      </w:r>
      <w:r w:rsidRPr="00926FDA">
        <w:rPr>
          <w:rFonts w:asciiTheme="minorHAnsi" w:hAnsiTheme="minorHAnsi" w:cstheme="minorHAnsi"/>
          <w:b/>
          <w:szCs w:val="22"/>
        </w:rPr>
        <w:tab/>
        <w:t xml:space="preserve">Lights providing indirect illumination onto signs shall be directed so the source of light is not visible from the public right-of-way or from properties in residential planning districts. </w:t>
      </w:r>
    </w:p>
    <w:p w14:paraId="4FD0BAFA" w14:textId="77777777" w:rsidR="00680A79" w:rsidRPr="00926FDA" w:rsidRDefault="00680A79" w:rsidP="00FC31F4">
      <w:pPr>
        <w:pStyle w:val="List2"/>
        <w:rPr>
          <w:rFonts w:asciiTheme="minorHAnsi" w:hAnsiTheme="minorHAnsi" w:cstheme="minorHAnsi"/>
          <w:b/>
          <w:szCs w:val="22"/>
        </w:rPr>
      </w:pPr>
      <w:r w:rsidRPr="00926FDA">
        <w:rPr>
          <w:rFonts w:asciiTheme="minorHAnsi" w:hAnsiTheme="minorHAnsi" w:cstheme="minorHAnsi"/>
          <w:b/>
          <w:szCs w:val="22"/>
        </w:rPr>
        <w:t>(b)</w:t>
      </w:r>
      <w:r w:rsidRPr="00926FDA">
        <w:rPr>
          <w:rFonts w:asciiTheme="minorHAnsi" w:hAnsiTheme="minorHAnsi" w:cstheme="minorHAnsi"/>
          <w:b/>
          <w:szCs w:val="22"/>
        </w:rPr>
        <w:tab/>
        <w:t>Neon or LED lighting is the only permitted lighting for direct illumination of all sign types except for electronic signs as described in TDC 38.140(2</w:t>
      </w:r>
      <w:proofErr w:type="gramStart"/>
      <w:r w:rsidRPr="00926FDA">
        <w:rPr>
          <w:rFonts w:asciiTheme="minorHAnsi" w:hAnsiTheme="minorHAnsi" w:cstheme="minorHAnsi"/>
          <w:b/>
          <w:szCs w:val="22"/>
        </w:rPr>
        <w:t>)(</w:t>
      </w:r>
      <w:proofErr w:type="gramEnd"/>
      <w:r w:rsidRPr="00926FDA">
        <w:rPr>
          <w:rFonts w:asciiTheme="minorHAnsi" w:hAnsiTheme="minorHAnsi" w:cstheme="minorHAnsi"/>
          <w:b/>
          <w:szCs w:val="22"/>
        </w:rPr>
        <w:t xml:space="preserve">e). Neon, LED incandescent and fluorescent lighting are permitted for indirect or internal illumination. </w:t>
      </w:r>
    </w:p>
    <w:p w14:paraId="15A1F3E5" w14:textId="77777777" w:rsidR="00680A79" w:rsidRPr="00926FDA" w:rsidRDefault="00680A79" w:rsidP="00FC31F4">
      <w:pPr>
        <w:pStyle w:val="List2"/>
        <w:rPr>
          <w:rFonts w:asciiTheme="minorHAnsi" w:hAnsiTheme="minorHAnsi" w:cstheme="minorHAnsi"/>
          <w:b/>
          <w:szCs w:val="22"/>
        </w:rPr>
      </w:pPr>
      <w:r w:rsidRPr="00926FDA">
        <w:rPr>
          <w:rFonts w:asciiTheme="minorHAnsi" w:hAnsiTheme="minorHAnsi" w:cstheme="minorHAnsi"/>
          <w:b/>
          <w:szCs w:val="22"/>
        </w:rPr>
        <w:t>(c)</w:t>
      </w:r>
      <w:r w:rsidRPr="00926FDA">
        <w:rPr>
          <w:rFonts w:asciiTheme="minorHAnsi" w:hAnsiTheme="minorHAnsi" w:cstheme="minorHAnsi"/>
          <w:b/>
          <w:szCs w:val="22"/>
        </w:rPr>
        <w:tab/>
        <w:t xml:space="preserve">The surface brightness of any sign shall not exceed that produced by the diffused output obtained from 800 </w:t>
      </w:r>
      <w:proofErr w:type="spellStart"/>
      <w:r w:rsidRPr="00926FDA">
        <w:rPr>
          <w:rFonts w:asciiTheme="minorHAnsi" w:hAnsiTheme="minorHAnsi" w:cstheme="minorHAnsi"/>
          <w:b/>
          <w:szCs w:val="22"/>
        </w:rPr>
        <w:t>milliampere</w:t>
      </w:r>
      <w:proofErr w:type="spellEnd"/>
      <w:r w:rsidRPr="00926FDA">
        <w:rPr>
          <w:rFonts w:asciiTheme="minorHAnsi" w:hAnsiTheme="minorHAnsi" w:cstheme="minorHAnsi"/>
          <w:b/>
          <w:szCs w:val="22"/>
        </w:rPr>
        <w:t xml:space="preserve"> fluorescent light sources spaced not closer than eight inches on center. </w:t>
      </w:r>
    </w:p>
    <w:p w14:paraId="01166153" w14:textId="77777777" w:rsidR="00680A79" w:rsidRPr="00926FDA" w:rsidRDefault="00680A79" w:rsidP="00680A79">
      <w:pPr>
        <w:pStyle w:val="List1"/>
        <w:rPr>
          <w:rFonts w:asciiTheme="minorHAnsi" w:hAnsiTheme="minorHAnsi" w:cstheme="minorHAnsi"/>
          <w:b/>
          <w:sz w:val="22"/>
          <w:szCs w:val="22"/>
        </w:rPr>
      </w:pPr>
      <w:r w:rsidRPr="00926FDA">
        <w:rPr>
          <w:rFonts w:asciiTheme="minorHAnsi" w:hAnsiTheme="minorHAnsi" w:cstheme="minorHAnsi"/>
          <w:b/>
          <w:sz w:val="22"/>
          <w:szCs w:val="22"/>
        </w:rPr>
        <w:t>(8)</w:t>
      </w:r>
      <w:r w:rsidRPr="00926FDA">
        <w:rPr>
          <w:rFonts w:asciiTheme="minorHAnsi" w:hAnsiTheme="minorHAnsi" w:cstheme="minorHAnsi"/>
          <w:b/>
          <w:sz w:val="22"/>
          <w:szCs w:val="22"/>
        </w:rPr>
        <w:tab/>
      </w:r>
      <w:r w:rsidRPr="00926FDA">
        <w:rPr>
          <w:rFonts w:asciiTheme="minorHAnsi" w:hAnsiTheme="minorHAnsi" w:cstheme="minorHAnsi"/>
          <w:b/>
          <w:i/>
          <w:sz w:val="22"/>
          <w:szCs w:val="22"/>
        </w:rPr>
        <w:t>Sign Maintenance and Repair.</w:t>
      </w:r>
      <w:r w:rsidRPr="00926FDA">
        <w:rPr>
          <w:rFonts w:asciiTheme="minorHAnsi" w:hAnsiTheme="minorHAnsi" w:cstheme="minorHAnsi"/>
          <w:b/>
          <w:sz w:val="22"/>
          <w:szCs w:val="22"/>
        </w:rPr>
        <w:t xml:space="preserve"> All signs shall be maintained in good order and repair at all times. Signs which have become faded, worn, damaged or are unsafe or pose a danger to the public shall be maintained, repaired or removed. </w:t>
      </w:r>
    </w:p>
    <w:p w14:paraId="559A68B6" w14:textId="7757DEF5" w:rsidR="00680A79" w:rsidRPr="00496935" w:rsidRDefault="00680A79" w:rsidP="00FC31F4">
      <w:pPr>
        <w:pStyle w:val="List1"/>
        <w:spacing w:before="0" w:after="0"/>
        <w:rPr>
          <w:rFonts w:asciiTheme="minorHAnsi" w:hAnsiTheme="minorHAnsi" w:cstheme="minorHAnsi"/>
          <w:b/>
          <w:sz w:val="22"/>
          <w:szCs w:val="22"/>
        </w:rPr>
      </w:pPr>
      <w:r w:rsidRPr="00926FDA">
        <w:rPr>
          <w:rFonts w:asciiTheme="minorHAnsi" w:hAnsiTheme="minorHAnsi" w:cstheme="minorHAnsi"/>
          <w:b/>
          <w:sz w:val="22"/>
          <w:szCs w:val="22"/>
        </w:rPr>
        <w:t>(9)</w:t>
      </w:r>
      <w:r w:rsidRPr="00926FDA">
        <w:rPr>
          <w:rFonts w:asciiTheme="minorHAnsi" w:hAnsiTheme="minorHAnsi" w:cstheme="minorHAnsi"/>
          <w:b/>
          <w:sz w:val="22"/>
          <w:szCs w:val="22"/>
        </w:rPr>
        <w:tab/>
      </w:r>
      <w:r w:rsidRPr="00926FDA">
        <w:rPr>
          <w:rFonts w:asciiTheme="minorHAnsi" w:hAnsiTheme="minorHAnsi" w:cstheme="minorHAnsi"/>
          <w:b/>
          <w:i/>
          <w:sz w:val="22"/>
          <w:szCs w:val="22"/>
        </w:rPr>
        <w:t xml:space="preserve">Signage </w:t>
      </w:r>
      <w:proofErr w:type="gramStart"/>
      <w:r w:rsidRPr="00926FDA">
        <w:rPr>
          <w:rFonts w:asciiTheme="minorHAnsi" w:hAnsiTheme="minorHAnsi" w:cstheme="minorHAnsi"/>
          <w:b/>
          <w:i/>
          <w:sz w:val="22"/>
          <w:szCs w:val="22"/>
        </w:rPr>
        <w:t>For</w:t>
      </w:r>
      <w:proofErr w:type="gramEnd"/>
      <w:r w:rsidRPr="00926FDA">
        <w:rPr>
          <w:rFonts w:asciiTheme="minorHAnsi" w:hAnsiTheme="minorHAnsi" w:cstheme="minorHAnsi"/>
          <w:b/>
          <w:i/>
          <w:sz w:val="22"/>
          <w:szCs w:val="22"/>
        </w:rPr>
        <w:t xml:space="preserve"> Additional Uses in the Central Urban Renewal District and the </w:t>
      </w:r>
      <w:proofErr w:type="spellStart"/>
      <w:r w:rsidRPr="00926FDA">
        <w:rPr>
          <w:rFonts w:asciiTheme="minorHAnsi" w:hAnsiTheme="minorHAnsi" w:cstheme="minorHAnsi"/>
          <w:b/>
          <w:i/>
          <w:sz w:val="22"/>
          <w:szCs w:val="22"/>
        </w:rPr>
        <w:t>Leveton</w:t>
      </w:r>
      <w:proofErr w:type="spellEnd"/>
      <w:r w:rsidRPr="00926FDA">
        <w:rPr>
          <w:rFonts w:asciiTheme="minorHAnsi" w:hAnsiTheme="minorHAnsi" w:cstheme="minorHAnsi"/>
          <w:b/>
          <w:i/>
          <w:sz w:val="22"/>
          <w:szCs w:val="22"/>
        </w:rPr>
        <w:t xml:space="preserve"> Tax Increment Financing District.</w:t>
      </w:r>
      <w:r w:rsidRPr="00926FDA">
        <w:rPr>
          <w:rFonts w:asciiTheme="minorHAnsi" w:hAnsiTheme="minorHAnsi" w:cstheme="minorHAnsi"/>
          <w:b/>
          <w:sz w:val="22"/>
          <w:szCs w:val="22"/>
        </w:rPr>
        <w:t xml:space="preserve"> In specific situations the Tualatin Development Code permits selected uses from a given "home" planning district to locate in another "receiving" planning district as an additional use when the "receiving" district is in the Central Tualatin Overlay District or the </w:t>
      </w:r>
      <w:proofErr w:type="spellStart"/>
      <w:r w:rsidRPr="00926FDA">
        <w:rPr>
          <w:rFonts w:asciiTheme="minorHAnsi" w:hAnsiTheme="minorHAnsi" w:cstheme="minorHAnsi"/>
          <w:b/>
          <w:sz w:val="22"/>
          <w:szCs w:val="22"/>
        </w:rPr>
        <w:t>Leveton</w:t>
      </w:r>
      <w:proofErr w:type="spellEnd"/>
      <w:r w:rsidRPr="00926FDA">
        <w:rPr>
          <w:rFonts w:asciiTheme="minorHAnsi" w:hAnsiTheme="minorHAnsi" w:cstheme="minorHAnsi"/>
          <w:b/>
          <w:sz w:val="22"/>
          <w:szCs w:val="22"/>
        </w:rPr>
        <w:t xml:space="preserve"> Tax Increment Financing District. When an additional use exists in a "receiving" planning district, the sign regulations of the "home" planning district shall apply to the additional use. </w:t>
      </w:r>
    </w:p>
    <w:p w14:paraId="6E2ACA15" w14:textId="77777777" w:rsidR="00FC31F4" w:rsidRDefault="00FC31F4" w:rsidP="00FC31F4">
      <w:pPr>
        <w:pStyle w:val="Section"/>
        <w:spacing w:before="0" w:after="0"/>
        <w:rPr>
          <w:sz w:val="22"/>
          <w:szCs w:val="22"/>
          <w:u w:val="single"/>
        </w:rPr>
      </w:pPr>
    </w:p>
    <w:p w14:paraId="29A5282F" w14:textId="02681643" w:rsidR="00680A79" w:rsidRPr="00C20B4F" w:rsidRDefault="00680A79" w:rsidP="00FC31F4">
      <w:pPr>
        <w:pStyle w:val="Section"/>
        <w:spacing w:before="0" w:after="0"/>
        <w:rPr>
          <w:sz w:val="22"/>
          <w:szCs w:val="22"/>
        </w:rPr>
      </w:pPr>
      <w:r w:rsidRPr="00C20B4F">
        <w:rPr>
          <w:sz w:val="22"/>
          <w:szCs w:val="22"/>
          <w:u w:val="single"/>
        </w:rPr>
        <w:t>Section 38.110 - Sign Types</w:t>
      </w:r>
      <w:r w:rsidRPr="00C20B4F">
        <w:rPr>
          <w:sz w:val="22"/>
          <w:szCs w:val="22"/>
        </w:rPr>
        <w:t>.</w:t>
      </w:r>
    </w:p>
    <w:p w14:paraId="74FCF227" w14:textId="77777777" w:rsidR="00680A79" w:rsidRPr="00C20B4F" w:rsidRDefault="00680A79" w:rsidP="00FC31F4">
      <w:pPr>
        <w:pStyle w:val="List1"/>
        <w:spacing w:before="0" w:after="0"/>
        <w:rPr>
          <w:b/>
          <w:sz w:val="22"/>
          <w:szCs w:val="22"/>
        </w:rPr>
      </w:pPr>
      <w:r w:rsidRPr="00C20B4F">
        <w:rPr>
          <w:b/>
          <w:sz w:val="22"/>
          <w:szCs w:val="22"/>
        </w:rPr>
        <w:t>(3)</w:t>
      </w:r>
      <w:r w:rsidRPr="00C20B4F">
        <w:rPr>
          <w:b/>
          <w:sz w:val="22"/>
          <w:szCs w:val="22"/>
        </w:rPr>
        <w:tab/>
      </w:r>
      <w:r w:rsidRPr="00C20B4F">
        <w:rPr>
          <w:b/>
          <w:i/>
          <w:sz w:val="22"/>
          <w:szCs w:val="22"/>
        </w:rPr>
        <w:t>Wall Sign Provisions.</w:t>
      </w:r>
    </w:p>
    <w:p w14:paraId="26E2B7A8" w14:textId="77777777" w:rsidR="00680A79" w:rsidRPr="00C20B4F" w:rsidRDefault="00680A79" w:rsidP="00FC31F4">
      <w:pPr>
        <w:pStyle w:val="List2"/>
        <w:rPr>
          <w:b/>
          <w:szCs w:val="22"/>
        </w:rPr>
      </w:pPr>
      <w:r w:rsidRPr="00C20B4F">
        <w:rPr>
          <w:b/>
          <w:szCs w:val="22"/>
        </w:rPr>
        <w:t>(a)</w:t>
      </w:r>
      <w:r w:rsidRPr="00C20B4F">
        <w:rPr>
          <w:b/>
          <w:szCs w:val="22"/>
        </w:rPr>
        <w:tab/>
      </w:r>
      <w:r w:rsidRPr="00C20B4F">
        <w:rPr>
          <w:b/>
          <w:i/>
          <w:szCs w:val="22"/>
        </w:rPr>
        <w:t>Sign Bands.</w:t>
      </w:r>
    </w:p>
    <w:p w14:paraId="62AC7AAD" w14:textId="77777777" w:rsidR="00680A79" w:rsidRPr="00C20B4F" w:rsidRDefault="00680A79" w:rsidP="00FC31F4">
      <w:pPr>
        <w:pStyle w:val="List3"/>
        <w:rPr>
          <w:b/>
          <w:szCs w:val="22"/>
        </w:rPr>
      </w:pPr>
      <w:r w:rsidRPr="00C20B4F">
        <w:rPr>
          <w:b/>
          <w:szCs w:val="22"/>
        </w:rPr>
        <w:t>(</w:t>
      </w:r>
      <w:proofErr w:type="spellStart"/>
      <w:r w:rsidRPr="00C20B4F">
        <w:rPr>
          <w:b/>
          <w:szCs w:val="22"/>
        </w:rPr>
        <w:t>i</w:t>
      </w:r>
      <w:proofErr w:type="spellEnd"/>
      <w:r w:rsidRPr="00C20B4F">
        <w:rPr>
          <w:b/>
          <w:szCs w:val="22"/>
        </w:rPr>
        <w:t>)</w:t>
      </w:r>
      <w:r w:rsidRPr="00C20B4F">
        <w:rPr>
          <w:b/>
          <w:szCs w:val="22"/>
        </w:rPr>
        <w:tab/>
        <w:t xml:space="preserve">A sign band shall be designated for each building by the building/property owner as part of the first sign permit application for that building after the effective date of this ordinance. </w:t>
      </w:r>
    </w:p>
    <w:p w14:paraId="0DEB261A" w14:textId="77777777" w:rsidR="00680A79" w:rsidRPr="00C20B4F" w:rsidRDefault="00680A79" w:rsidP="00FC31F4">
      <w:pPr>
        <w:pStyle w:val="List3"/>
        <w:rPr>
          <w:b/>
          <w:szCs w:val="22"/>
        </w:rPr>
      </w:pPr>
      <w:r w:rsidRPr="00C20B4F">
        <w:rPr>
          <w:b/>
          <w:szCs w:val="22"/>
        </w:rPr>
        <w:lastRenderedPageBreak/>
        <w:t>(ii)</w:t>
      </w:r>
      <w:r w:rsidRPr="00C20B4F">
        <w:rPr>
          <w:b/>
          <w:szCs w:val="22"/>
        </w:rPr>
        <w:tab/>
        <w:t xml:space="preserve">The sign band shall be located on a wall or awning, or the fascia of a canopy or marquee, or in the space between posts or columns which are directly below with the wall above and in the same vertical line as the wall above. The sign band shall not include windows. The sign band shall be no greater in height from top to bottom than the allowed wall sign height. </w:t>
      </w:r>
    </w:p>
    <w:p w14:paraId="11217277" w14:textId="77777777" w:rsidR="00680A79" w:rsidRPr="00C20B4F" w:rsidRDefault="00680A79" w:rsidP="00FC31F4">
      <w:pPr>
        <w:pStyle w:val="List3"/>
        <w:rPr>
          <w:b/>
          <w:szCs w:val="22"/>
        </w:rPr>
      </w:pPr>
      <w:r w:rsidRPr="00C20B4F">
        <w:rPr>
          <w:b/>
          <w:szCs w:val="22"/>
        </w:rPr>
        <w:t>(iii)</w:t>
      </w:r>
      <w:r w:rsidRPr="00C20B4F">
        <w:rPr>
          <w:b/>
          <w:szCs w:val="22"/>
        </w:rPr>
        <w:tab/>
        <w:t xml:space="preserve">The sign band for existing wall signs with an approved sign permit shall be that portion of the wall where the existing sign is located. </w:t>
      </w:r>
    </w:p>
    <w:p w14:paraId="4B30E97D" w14:textId="77777777" w:rsidR="00680A79" w:rsidRPr="00C20B4F" w:rsidRDefault="00680A79" w:rsidP="00FC31F4">
      <w:pPr>
        <w:pStyle w:val="List3"/>
        <w:rPr>
          <w:b/>
          <w:szCs w:val="22"/>
        </w:rPr>
      </w:pPr>
      <w:proofErr w:type="gramStart"/>
      <w:r w:rsidRPr="00C20B4F">
        <w:rPr>
          <w:b/>
          <w:szCs w:val="22"/>
        </w:rPr>
        <w:t>(iv)</w:t>
      </w:r>
      <w:r w:rsidRPr="00C20B4F">
        <w:rPr>
          <w:b/>
          <w:szCs w:val="22"/>
        </w:rPr>
        <w:tab/>
        <w:t>The</w:t>
      </w:r>
      <w:proofErr w:type="gramEnd"/>
      <w:r w:rsidRPr="00C20B4F">
        <w:rPr>
          <w:b/>
          <w:szCs w:val="22"/>
        </w:rPr>
        <w:t xml:space="preserve"> sign band shall be located in the same relative position on each elevation; however, the band may reflect architectural elements and grade changes. The band may include, but is not limited to, a continuous horizontal painted band, a continuous horizontal architectural feature, a continuous horizontal band of similar exterior material such as courses of colored or textured brick, or concrete block. The sign band shall not extend above the top of a wall or a parapet. Except as provided in TDC 38.225, sign bands on awnings, canopies and marquees shall not extend above the top of nor below the bottom of the awning, canopy or marquee. </w:t>
      </w:r>
    </w:p>
    <w:p w14:paraId="2E7A4B56" w14:textId="77777777" w:rsidR="00680A79" w:rsidRPr="00C20B4F" w:rsidRDefault="00680A79" w:rsidP="00FC31F4">
      <w:pPr>
        <w:pStyle w:val="List2"/>
        <w:rPr>
          <w:b/>
          <w:szCs w:val="22"/>
        </w:rPr>
      </w:pPr>
      <w:r w:rsidRPr="00C20B4F">
        <w:rPr>
          <w:b/>
          <w:szCs w:val="22"/>
        </w:rPr>
        <w:t>(b)</w:t>
      </w:r>
      <w:r w:rsidRPr="00C20B4F">
        <w:rPr>
          <w:b/>
          <w:szCs w:val="22"/>
        </w:rPr>
        <w:tab/>
        <w:t xml:space="preserve">Except for window signs, shingle/blade signs attached to a wall, and wall mounted plaque and directory signs, permanent wall signs shall be erected within the sign band. </w:t>
      </w:r>
    </w:p>
    <w:p w14:paraId="24A8DD70" w14:textId="77777777" w:rsidR="00680A79" w:rsidRPr="00C20B4F" w:rsidRDefault="00680A79" w:rsidP="00FC31F4">
      <w:pPr>
        <w:pStyle w:val="List2"/>
        <w:rPr>
          <w:b/>
          <w:szCs w:val="22"/>
        </w:rPr>
      </w:pPr>
      <w:r w:rsidRPr="00C20B4F">
        <w:rPr>
          <w:b/>
          <w:szCs w:val="22"/>
        </w:rPr>
        <w:t>(c)</w:t>
      </w:r>
      <w:r w:rsidRPr="00C20B4F">
        <w:rPr>
          <w:b/>
          <w:szCs w:val="22"/>
        </w:rPr>
        <w:tab/>
        <w:t xml:space="preserve">Wall signs may be erected on doors, provided the sign band includes the door. </w:t>
      </w:r>
    </w:p>
    <w:p w14:paraId="7D43D831" w14:textId="77777777" w:rsidR="00680A79" w:rsidRPr="00C20B4F" w:rsidRDefault="00680A79" w:rsidP="00FC31F4">
      <w:pPr>
        <w:pStyle w:val="List2"/>
        <w:rPr>
          <w:b/>
          <w:szCs w:val="22"/>
        </w:rPr>
      </w:pPr>
      <w:r w:rsidRPr="00C20B4F">
        <w:rPr>
          <w:b/>
          <w:szCs w:val="22"/>
        </w:rPr>
        <w:t>(d)</w:t>
      </w:r>
      <w:r w:rsidRPr="00C20B4F">
        <w:rPr>
          <w:b/>
          <w:szCs w:val="22"/>
        </w:rPr>
        <w:tab/>
      </w:r>
      <w:r w:rsidRPr="00C20B4F">
        <w:rPr>
          <w:b/>
          <w:i/>
          <w:szCs w:val="22"/>
        </w:rPr>
        <w:t>Wall Sign Extensions.</w:t>
      </w:r>
      <w:r w:rsidRPr="00C20B4F">
        <w:rPr>
          <w:b/>
          <w:szCs w:val="22"/>
        </w:rPr>
        <w:t xml:space="preserve"> Wall signs shall not extend above the top of nor below the bottom of the sign band. </w:t>
      </w:r>
    </w:p>
    <w:p w14:paraId="2EC9CD15" w14:textId="77777777" w:rsidR="00680A79" w:rsidRPr="00C20B4F" w:rsidRDefault="00680A79" w:rsidP="00FC31F4">
      <w:pPr>
        <w:pStyle w:val="List2"/>
        <w:rPr>
          <w:b/>
          <w:szCs w:val="22"/>
        </w:rPr>
      </w:pPr>
      <w:r w:rsidRPr="00C20B4F">
        <w:rPr>
          <w:b/>
          <w:szCs w:val="22"/>
        </w:rPr>
        <w:t>(e)</w:t>
      </w:r>
      <w:r w:rsidRPr="00C20B4F">
        <w:rPr>
          <w:b/>
          <w:szCs w:val="22"/>
        </w:rPr>
        <w:tab/>
      </w:r>
      <w:r w:rsidRPr="00C20B4F">
        <w:rPr>
          <w:b/>
          <w:i/>
          <w:szCs w:val="22"/>
        </w:rPr>
        <w:t>Wall Sign Depth.</w:t>
      </w:r>
      <w:r w:rsidRPr="00C20B4F">
        <w:rPr>
          <w:b/>
          <w:szCs w:val="22"/>
        </w:rPr>
        <w:t xml:space="preserve"> Wall signs shall not extend out from the wall greater than 1.33 feet (16 inches). Except as provided in TDC 38.225, shingle/blade signs attached to a wall may extend no greater than four feet. </w:t>
      </w:r>
    </w:p>
    <w:p w14:paraId="0ECD6D15" w14:textId="77777777" w:rsidR="00680A79" w:rsidRPr="00926FDA" w:rsidRDefault="00680A79" w:rsidP="004B6F5A">
      <w:pPr>
        <w:pStyle w:val="List2"/>
        <w:rPr>
          <w:b/>
        </w:rPr>
      </w:pPr>
      <w:r w:rsidRPr="00926FDA">
        <w:rPr>
          <w:b/>
        </w:rPr>
        <w:t>(f)</w:t>
      </w:r>
      <w:r w:rsidRPr="00926FDA">
        <w:rPr>
          <w:b/>
        </w:rPr>
        <w:tab/>
      </w:r>
      <w:r w:rsidRPr="00926FDA">
        <w:rPr>
          <w:b/>
          <w:i/>
        </w:rPr>
        <w:t>Wall Sign Face Orientation.</w:t>
      </w:r>
      <w:r w:rsidRPr="00926FDA">
        <w:rPr>
          <w:b/>
        </w:rPr>
        <w:t xml:space="preserve"> Wall sign faces shall be parallel to the wall to which they are attached. Except as provided in TDC 38.225, shingle/blade signs attached to a wall shall be perpendicular to the wall to which they are attached. </w:t>
      </w:r>
    </w:p>
    <w:p w14:paraId="590DB135" w14:textId="77777777" w:rsidR="00496935" w:rsidRDefault="00496935" w:rsidP="00496935">
      <w:pPr>
        <w:pStyle w:val="Heading2"/>
        <w:numPr>
          <w:ilvl w:val="0"/>
          <w:numId w:val="0"/>
        </w:numPr>
        <w:spacing w:before="0" w:after="0"/>
        <w:ind w:left="360" w:hanging="360"/>
        <w:rPr>
          <w:highlight w:val="yellow"/>
        </w:rPr>
      </w:pPr>
    </w:p>
    <w:p w14:paraId="0535EF80" w14:textId="2B36314A" w:rsidR="00680A79" w:rsidRDefault="00C85C21" w:rsidP="00496935">
      <w:pPr>
        <w:pStyle w:val="Heading2"/>
        <w:numPr>
          <w:ilvl w:val="0"/>
          <w:numId w:val="0"/>
        </w:numPr>
        <w:spacing w:before="0" w:after="0"/>
        <w:ind w:left="360" w:hanging="360"/>
      </w:pPr>
      <w:r w:rsidRPr="00496935">
        <w:t>Findings</w:t>
      </w:r>
      <w:r w:rsidRPr="00496935">
        <w:rPr>
          <w:u w:val="none"/>
        </w:rPr>
        <w:t>:</w:t>
      </w:r>
    </w:p>
    <w:p w14:paraId="7AEF83E8" w14:textId="77777777" w:rsidR="00FC31F4" w:rsidRDefault="00496935" w:rsidP="00FC31F4">
      <w:pPr>
        <w:pStyle w:val="Heading2"/>
        <w:numPr>
          <w:ilvl w:val="0"/>
          <w:numId w:val="0"/>
        </w:numPr>
        <w:spacing w:before="0" w:after="0"/>
        <w:rPr>
          <w:b w:val="0"/>
          <w:i/>
          <w:u w:val="none"/>
        </w:rPr>
      </w:pPr>
      <w:r w:rsidRPr="00496935">
        <w:rPr>
          <w:b w:val="0"/>
          <w:i/>
          <w:u w:val="none"/>
        </w:rPr>
        <w:t>Any future submission of wall signs woul</w:t>
      </w:r>
      <w:r w:rsidR="00F8121C">
        <w:rPr>
          <w:b w:val="0"/>
          <w:i/>
          <w:u w:val="none"/>
        </w:rPr>
        <w:t xml:space="preserve">d reviewed for compliance with </w:t>
      </w:r>
      <w:r w:rsidRPr="00496935">
        <w:rPr>
          <w:b w:val="0"/>
          <w:i/>
          <w:u w:val="none"/>
        </w:rPr>
        <w:t xml:space="preserve">these standards. </w:t>
      </w:r>
    </w:p>
    <w:p w14:paraId="3DD945C6" w14:textId="77777777" w:rsidR="00FC31F4" w:rsidRDefault="00FC31F4" w:rsidP="00FC31F4">
      <w:pPr>
        <w:pStyle w:val="Heading2"/>
        <w:numPr>
          <w:ilvl w:val="0"/>
          <w:numId w:val="0"/>
        </w:numPr>
        <w:spacing w:before="0" w:after="0"/>
        <w:rPr>
          <w:b w:val="0"/>
          <w:i/>
          <w:u w:val="none"/>
        </w:rPr>
      </w:pPr>
    </w:p>
    <w:p w14:paraId="4667A64A" w14:textId="77777777" w:rsidR="00FC31F4" w:rsidRDefault="00FC31F4" w:rsidP="00FC31F4">
      <w:pPr>
        <w:pStyle w:val="Heading2"/>
        <w:numPr>
          <w:ilvl w:val="0"/>
          <w:numId w:val="0"/>
        </w:numPr>
        <w:spacing w:before="0" w:after="0"/>
        <w:rPr>
          <w:b w:val="0"/>
          <w:i/>
          <w:u w:val="none"/>
        </w:rPr>
      </w:pPr>
    </w:p>
    <w:p w14:paraId="6BB96DED" w14:textId="77777777" w:rsidR="00FC31F4" w:rsidRDefault="00FC31F4" w:rsidP="00FC31F4">
      <w:pPr>
        <w:pStyle w:val="Heading2"/>
        <w:numPr>
          <w:ilvl w:val="0"/>
          <w:numId w:val="0"/>
        </w:numPr>
        <w:spacing w:before="0" w:after="0"/>
        <w:rPr>
          <w:b w:val="0"/>
          <w:i/>
          <w:u w:val="none"/>
        </w:rPr>
      </w:pPr>
    </w:p>
    <w:p w14:paraId="58FDD103" w14:textId="77777777" w:rsidR="00FC31F4" w:rsidRDefault="00FC31F4" w:rsidP="00FC31F4">
      <w:pPr>
        <w:pStyle w:val="Heading2"/>
        <w:numPr>
          <w:ilvl w:val="0"/>
          <w:numId w:val="0"/>
        </w:numPr>
        <w:spacing w:before="0" w:after="0"/>
        <w:rPr>
          <w:b w:val="0"/>
          <w:i/>
          <w:u w:val="none"/>
        </w:rPr>
      </w:pPr>
    </w:p>
    <w:p w14:paraId="36455971" w14:textId="67844953" w:rsidR="00680992" w:rsidRPr="00FC31F4" w:rsidRDefault="00680992" w:rsidP="00FC31F4">
      <w:pPr>
        <w:pStyle w:val="Heading2"/>
        <w:numPr>
          <w:ilvl w:val="0"/>
          <w:numId w:val="0"/>
        </w:numPr>
        <w:spacing w:before="0" w:after="0"/>
        <w:rPr>
          <w:b w:val="0"/>
          <w:i/>
          <w:u w:val="none"/>
        </w:rPr>
      </w:pPr>
      <w:r w:rsidRPr="00680992">
        <w:t>Section 38.220 - Signs Permitted in the Central Commercial (CC) and General Commercial (CG) Planning Districts</w:t>
      </w:r>
      <w:r>
        <w:t>.</w:t>
      </w:r>
    </w:p>
    <w:p w14:paraId="1D8506AA" w14:textId="77777777" w:rsidR="00680992" w:rsidRPr="00680992" w:rsidRDefault="00680992" w:rsidP="00FC31F4">
      <w:pPr>
        <w:pStyle w:val="List1"/>
        <w:spacing w:before="0" w:after="0"/>
        <w:rPr>
          <w:rFonts w:asciiTheme="minorHAnsi" w:hAnsiTheme="minorHAnsi" w:cstheme="minorHAnsi"/>
          <w:b/>
          <w:sz w:val="22"/>
          <w:szCs w:val="22"/>
        </w:rPr>
      </w:pPr>
      <w:r w:rsidRPr="00680992">
        <w:rPr>
          <w:rFonts w:asciiTheme="minorHAnsi" w:hAnsiTheme="minorHAnsi" w:cstheme="minorHAnsi"/>
          <w:b/>
          <w:sz w:val="22"/>
          <w:szCs w:val="22"/>
        </w:rPr>
        <w:t>(1)</w:t>
      </w:r>
      <w:r w:rsidRPr="00680992">
        <w:rPr>
          <w:rFonts w:asciiTheme="minorHAnsi" w:hAnsiTheme="minorHAnsi" w:cstheme="minorHAnsi"/>
          <w:b/>
          <w:sz w:val="22"/>
          <w:szCs w:val="22"/>
        </w:rPr>
        <w:tab/>
        <w:t xml:space="preserve">Additional sign types are allowed on Multi-story Buildings, on buildings within a Major Commercial Center, and within the Central Design District. No sign shall be permitted in the CC or CG Planning Districts for permitted and conditional uses except the following: </w:t>
      </w:r>
    </w:p>
    <w:p w14:paraId="135D6D98" w14:textId="77777777" w:rsidR="00680992" w:rsidRPr="00680992" w:rsidRDefault="00680992" w:rsidP="00FC31F4">
      <w:pPr>
        <w:pStyle w:val="List2"/>
        <w:rPr>
          <w:rFonts w:asciiTheme="minorHAnsi" w:hAnsiTheme="minorHAnsi" w:cstheme="minorHAnsi"/>
          <w:b/>
          <w:szCs w:val="22"/>
        </w:rPr>
      </w:pPr>
      <w:r w:rsidRPr="00680992">
        <w:rPr>
          <w:rFonts w:asciiTheme="minorHAnsi" w:hAnsiTheme="minorHAnsi" w:cstheme="minorHAnsi"/>
          <w:b/>
          <w:szCs w:val="22"/>
        </w:rPr>
        <w:t>(a)</w:t>
      </w:r>
      <w:r w:rsidRPr="00680992">
        <w:rPr>
          <w:rFonts w:asciiTheme="minorHAnsi" w:hAnsiTheme="minorHAnsi" w:cstheme="minorHAnsi"/>
          <w:b/>
          <w:szCs w:val="22"/>
        </w:rPr>
        <w:tab/>
        <w:t xml:space="preserve">Monument signs are permitted. If used, the following standards apply: </w:t>
      </w:r>
    </w:p>
    <w:p w14:paraId="02421ECA" w14:textId="77777777" w:rsidR="00680992" w:rsidRPr="00680992" w:rsidRDefault="00680992" w:rsidP="00FC31F4">
      <w:pPr>
        <w:pStyle w:val="List3"/>
        <w:rPr>
          <w:rFonts w:asciiTheme="minorHAnsi" w:hAnsiTheme="minorHAnsi" w:cstheme="minorHAnsi"/>
          <w:b/>
          <w:szCs w:val="22"/>
        </w:rPr>
      </w:pPr>
      <w:r w:rsidRPr="00680992">
        <w:rPr>
          <w:rFonts w:asciiTheme="minorHAnsi" w:hAnsiTheme="minorHAnsi" w:cstheme="minorHAnsi"/>
          <w:b/>
          <w:szCs w:val="22"/>
        </w:rPr>
        <w:t>(</w:t>
      </w:r>
      <w:proofErr w:type="spellStart"/>
      <w:r w:rsidRPr="00680992">
        <w:rPr>
          <w:rFonts w:asciiTheme="minorHAnsi" w:hAnsiTheme="minorHAnsi" w:cstheme="minorHAnsi"/>
          <w:b/>
          <w:szCs w:val="22"/>
        </w:rPr>
        <w:t>i</w:t>
      </w:r>
      <w:proofErr w:type="spellEnd"/>
      <w:r w:rsidRPr="00680992">
        <w:rPr>
          <w:rFonts w:asciiTheme="minorHAnsi" w:hAnsiTheme="minorHAnsi" w:cstheme="minorHAnsi"/>
          <w:b/>
          <w:szCs w:val="22"/>
        </w:rPr>
        <w:t>)</w:t>
      </w:r>
      <w:r w:rsidRPr="00680992">
        <w:rPr>
          <w:rFonts w:asciiTheme="minorHAnsi" w:hAnsiTheme="minorHAnsi" w:cstheme="minorHAnsi"/>
          <w:b/>
          <w:szCs w:val="22"/>
        </w:rPr>
        <w:tab/>
        <w:t xml:space="preserve">Number: One for a single frontage lot. Two for a single frontage lot with a minimum of 1.5-2.0 acres in lot area and 500 feet of frontage on one public street, provided the signs are not less than 300 feet apart from each other. Two for a corner lot with two or more frontages, provided the signs are not less than 300 feet apart from each other. Two for a through lot with two or more frontages, provided no more than one sign is on each frontage. </w:t>
      </w:r>
    </w:p>
    <w:p w14:paraId="3DA3D232" w14:textId="77777777" w:rsidR="00680992" w:rsidRPr="00680992" w:rsidRDefault="00680992" w:rsidP="00FC31F4">
      <w:pPr>
        <w:pStyle w:val="List3"/>
        <w:rPr>
          <w:rFonts w:asciiTheme="minorHAnsi" w:hAnsiTheme="minorHAnsi" w:cstheme="minorHAnsi"/>
          <w:b/>
          <w:szCs w:val="22"/>
        </w:rPr>
      </w:pPr>
      <w:r w:rsidRPr="00680992">
        <w:rPr>
          <w:rFonts w:asciiTheme="minorHAnsi" w:hAnsiTheme="minorHAnsi" w:cstheme="minorHAnsi"/>
          <w:b/>
          <w:szCs w:val="22"/>
        </w:rPr>
        <w:t>(ii)</w:t>
      </w:r>
      <w:r w:rsidRPr="00680992">
        <w:rPr>
          <w:rFonts w:asciiTheme="minorHAnsi" w:hAnsiTheme="minorHAnsi" w:cstheme="minorHAnsi"/>
          <w:b/>
          <w:szCs w:val="22"/>
        </w:rPr>
        <w:tab/>
        <w:t xml:space="preserve">Number of Sides: No more than two. </w:t>
      </w:r>
    </w:p>
    <w:p w14:paraId="50C3A574" w14:textId="77777777" w:rsidR="00680992" w:rsidRPr="00680992" w:rsidRDefault="00680992" w:rsidP="00FC31F4">
      <w:pPr>
        <w:pStyle w:val="List3"/>
        <w:rPr>
          <w:rFonts w:asciiTheme="minorHAnsi" w:hAnsiTheme="minorHAnsi" w:cstheme="minorHAnsi"/>
          <w:b/>
          <w:szCs w:val="22"/>
        </w:rPr>
      </w:pPr>
      <w:proofErr w:type="gramStart"/>
      <w:r w:rsidRPr="00680992">
        <w:rPr>
          <w:rFonts w:asciiTheme="minorHAnsi" w:hAnsiTheme="minorHAnsi" w:cstheme="minorHAnsi"/>
          <w:b/>
          <w:szCs w:val="22"/>
        </w:rPr>
        <w:lastRenderedPageBreak/>
        <w:t>(iii)</w:t>
      </w:r>
      <w:r w:rsidRPr="00680992">
        <w:rPr>
          <w:rFonts w:asciiTheme="minorHAnsi" w:hAnsiTheme="minorHAnsi" w:cstheme="minorHAnsi"/>
          <w:b/>
          <w:szCs w:val="22"/>
        </w:rPr>
        <w:tab/>
        <w:t>Height Above Grade</w:t>
      </w:r>
      <w:proofErr w:type="gramEnd"/>
      <w:r w:rsidRPr="00680992">
        <w:rPr>
          <w:rFonts w:asciiTheme="minorHAnsi" w:hAnsiTheme="minorHAnsi" w:cstheme="minorHAnsi"/>
          <w:b/>
          <w:szCs w:val="22"/>
        </w:rPr>
        <w:t xml:space="preserve">: No higher than eight feet, except a Major Commercial Center sign may be up to ten feet. </w:t>
      </w:r>
    </w:p>
    <w:p w14:paraId="7CAF2316" w14:textId="77777777" w:rsidR="00680992" w:rsidRPr="00680992" w:rsidRDefault="00680992" w:rsidP="00FC31F4">
      <w:pPr>
        <w:pStyle w:val="List3"/>
        <w:rPr>
          <w:rFonts w:asciiTheme="minorHAnsi" w:hAnsiTheme="minorHAnsi" w:cstheme="minorHAnsi"/>
          <w:b/>
          <w:szCs w:val="22"/>
        </w:rPr>
      </w:pPr>
      <w:proofErr w:type="gramStart"/>
      <w:r w:rsidRPr="00680992">
        <w:rPr>
          <w:rFonts w:asciiTheme="minorHAnsi" w:hAnsiTheme="minorHAnsi" w:cstheme="minorHAnsi"/>
          <w:b/>
          <w:szCs w:val="22"/>
        </w:rPr>
        <w:t>(iv)</w:t>
      </w:r>
      <w:r w:rsidRPr="00680992">
        <w:rPr>
          <w:rFonts w:asciiTheme="minorHAnsi" w:hAnsiTheme="minorHAnsi" w:cstheme="minorHAnsi"/>
          <w:b/>
          <w:szCs w:val="22"/>
        </w:rPr>
        <w:tab/>
        <w:t>Area</w:t>
      </w:r>
      <w:proofErr w:type="gramEnd"/>
      <w:r w:rsidRPr="00680992">
        <w:rPr>
          <w:rFonts w:asciiTheme="minorHAnsi" w:hAnsiTheme="minorHAnsi" w:cstheme="minorHAnsi"/>
          <w:b/>
          <w:szCs w:val="22"/>
        </w:rPr>
        <w:t xml:space="preserve">: No more than 40 square feet, except a Major Commercial Center sign may be up to 55 square feet. </w:t>
      </w:r>
    </w:p>
    <w:p w14:paraId="65E1FBED" w14:textId="77777777" w:rsidR="00680992" w:rsidRPr="00680992" w:rsidRDefault="00680992" w:rsidP="00FC31F4">
      <w:pPr>
        <w:pStyle w:val="List3"/>
        <w:rPr>
          <w:rFonts w:asciiTheme="minorHAnsi" w:hAnsiTheme="minorHAnsi" w:cstheme="minorHAnsi"/>
          <w:b/>
          <w:szCs w:val="22"/>
        </w:rPr>
      </w:pPr>
      <w:r w:rsidRPr="00680992">
        <w:rPr>
          <w:rFonts w:asciiTheme="minorHAnsi" w:hAnsiTheme="minorHAnsi" w:cstheme="minorHAnsi"/>
          <w:b/>
          <w:szCs w:val="22"/>
        </w:rPr>
        <w:t>(v)</w:t>
      </w:r>
      <w:r w:rsidRPr="00680992">
        <w:rPr>
          <w:rFonts w:asciiTheme="minorHAnsi" w:hAnsiTheme="minorHAnsi" w:cstheme="minorHAnsi"/>
          <w:b/>
          <w:szCs w:val="22"/>
        </w:rPr>
        <w:tab/>
        <w:t xml:space="preserve">Letter, Symbol, Logo, </w:t>
      </w:r>
      <w:proofErr w:type="gramStart"/>
      <w:r w:rsidRPr="00680992">
        <w:rPr>
          <w:rFonts w:asciiTheme="minorHAnsi" w:hAnsiTheme="minorHAnsi" w:cstheme="minorHAnsi"/>
          <w:b/>
          <w:szCs w:val="22"/>
        </w:rPr>
        <w:t>Size</w:t>
      </w:r>
      <w:proofErr w:type="gramEnd"/>
      <w:r w:rsidRPr="00680992">
        <w:rPr>
          <w:rFonts w:asciiTheme="minorHAnsi" w:hAnsiTheme="minorHAnsi" w:cstheme="minorHAnsi"/>
          <w:b/>
          <w:szCs w:val="22"/>
        </w:rPr>
        <w:t xml:space="preserve">: Letters, symbols and logos shall be at least one foot high measured from the top of the letter/symbol/logo to the bottom of the letter/symbol/logo. Numbers may be less than one foot high. </w:t>
      </w:r>
    </w:p>
    <w:p w14:paraId="298A9388" w14:textId="77777777" w:rsidR="00680992" w:rsidRPr="00680992" w:rsidRDefault="00680992" w:rsidP="00FC31F4">
      <w:pPr>
        <w:pStyle w:val="List3"/>
        <w:rPr>
          <w:rFonts w:asciiTheme="minorHAnsi" w:hAnsiTheme="minorHAnsi" w:cstheme="minorHAnsi"/>
          <w:b/>
          <w:szCs w:val="22"/>
        </w:rPr>
      </w:pPr>
      <w:proofErr w:type="gramStart"/>
      <w:r w:rsidRPr="00680992">
        <w:rPr>
          <w:rFonts w:asciiTheme="minorHAnsi" w:hAnsiTheme="minorHAnsi" w:cstheme="minorHAnsi"/>
          <w:b/>
          <w:szCs w:val="22"/>
        </w:rPr>
        <w:t>(vi)</w:t>
      </w:r>
      <w:r w:rsidRPr="00680992">
        <w:rPr>
          <w:rFonts w:asciiTheme="minorHAnsi" w:hAnsiTheme="minorHAnsi" w:cstheme="minorHAnsi"/>
          <w:b/>
          <w:szCs w:val="22"/>
        </w:rPr>
        <w:tab/>
        <w:t>Illumination</w:t>
      </w:r>
      <w:proofErr w:type="gramEnd"/>
      <w:r w:rsidRPr="00680992">
        <w:rPr>
          <w:rFonts w:asciiTheme="minorHAnsi" w:hAnsiTheme="minorHAnsi" w:cstheme="minorHAnsi"/>
          <w:b/>
          <w:szCs w:val="22"/>
        </w:rPr>
        <w:t xml:space="preserve">: Subject to Sign Design Review Standards of TDC 38.075, direct, indirect or internal. </w:t>
      </w:r>
    </w:p>
    <w:p w14:paraId="444A997B" w14:textId="77777777" w:rsidR="00680992" w:rsidRPr="00680992" w:rsidRDefault="00680992" w:rsidP="00FC31F4">
      <w:pPr>
        <w:pStyle w:val="List3"/>
        <w:rPr>
          <w:rFonts w:asciiTheme="minorHAnsi" w:hAnsiTheme="minorHAnsi" w:cstheme="minorHAnsi"/>
          <w:b/>
          <w:szCs w:val="22"/>
        </w:rPr>
      </w:pPr>
      <w:r w:rsidRPr="00680992">
        <w:rPr>
          <w:rFonts w:asciiTheme="minorHAnsi" w:hAnsiTheme="minorHAnsi" w:cstheme="minorHAnsi"/>
          <w:b/>
          <w:szCs w:val="22"/>
        </w:rPr>
        <w:t>(vii)</w:t>
      </w:r>
      <w:r w:rsidRPr="00680992">
        <w:rPr>
          <w:rFonts w:asciiTheme="minorHAnsi" w:hAnsiTheme="minorHAnsi" w:cstheme="minorHAnsi"/>
          <w:b/>
          <w:szCs w:val="22"/>
        </w:rPr>
        <w:tab/>
        <w:t xml:space="preserve">Location: No greater than 30 feet from the frontage property line along the public right-of-way. </w:t>
      </w:r>
    </w:p>
    <w:p w14:paraId="7CEECBB0" w14:textId="77777777" w:rsidR="00680992" w:rsidRPr="00680992" w:rsidRDefault="00680992" w:rsidP="00680992">
      <w:pPr>
        <w:pStyle w:val="List3"/>
        <w:rPr>
          <w:rFonts w:asciiTheme="minorHAnsi" w:hAnsiTheme="minorHAnsi" w:cstheme="minorHAnsi"/>
          <w:b/>
          <w:szCs w:val="22"/>
        </w:rPr>
      </w:pPr>
      <w:r w:rsidRPr="00680992">
        <w:rPr>
          <w:rFonts w:asciiTheme="minorHAnsi" w:hAnsiTheme="minorHAnsi" w:cstheme="minorHAnsi"/>
          <w:b/>
          <w:szCs w:val="22"/>
        </w:rPr>
        <w:t>(viii)</w:t>
      </w:r>
      <w:r w:rsidRPr="00680992">
        <w:rPr>
          <w:rFonts w:asciiTheme="minorHAnsi" w:hAnsiTheme="minorHAnsi" w:cstheme="minorHAnsi"/>
          <w:b/>
          <w:szCs w:val="22"/>
        </w:rPr>
        <w:tab/>
        <w:t xml:space="preserve">Design: Subject to Sign Design Review Standards of TDC 38.075. </w:t>
      </w:r>
    </w:p>
    <w:p w14:paraId="70090E21" w14:textId="77777777" w:rsidR="00680992" w:rsidRPr="00680992" w:rsidRDefault="00680992" w:rsidP="00680992">
      <w:pPr>
        <w:pStyle w:val="List2"/>
        <w:rPr>
          <w:rFonts w:asciiTheme="minorHAnsi" w:hAnsiTheme="minorHAnsi" w:cstheme="minorHAnsi"/>
          <w:b/>
          <w:szCs w:val="22"/>
        </w:rPr>
      </w:pPr>
      <w:r w:rsidRPr="00680992">
        <w:rPr>
          <w:rFonts w:asciiTheme="minorHAnsi" w:hAnsiTheme="minorHAnsi" w:cstheme="minorHAnsi"/>
          <w:b/>
          <w:szCs w:val="22"/>
        </w:rPr>
        <w:t>(b)</w:t>
      </w:r>
      <w:r w:rsidRPr="00680992">
        <w:rPr>
          <w:rFonts w:asciiTheme="minorHAnsi" w:hAnsiTheme="minorHAnsi" w:cstheme="minorHAnsi"/>
          <w:b/>
          <w:szCs w:val="22"/>
        </w:rPr>
        <w:tab/>
        <w:t>Monument signs in addition to those allowed in TDC 38.220(1</w:t>
      </w:r>
      <w:proofErr w:type="gramStart"/>
      <w:r w:rsidRPr="00680992">
        <w:rPr>
          <w:rFonts w:asciiTheme="minorHAnsi" w:hAnsiTheme="minorHAnsi" w:cstheme="minorHAnsi"/>
          <w:b/>
          <w:szCs w:val="22"/>
        </w:rPr>
        <w:t>)(</w:t>
      </w:r>
      <w:proofErr w:type="gramEnd"/>
      <w:r w:rsidRPr="00680992">
        <w:rPr>
          <w:rFonts w:asciiTheme="minorHAnsi" w:hAnsiTheme="minorHAnsi" w:cstheme="minorHAnsi"/>
          <w:b/>
          <w:szCs w:val="22"/>
        </w:rPr>
        <w:t xml:space="preserve">a) above are permitted for separate buildings in Major Commercial Centers of greater than 3.0 acres. If used, the following standards apply: </w:t>
      </w:r>
    </w:p>
    <w:p w14:paraId="266FF71C" w14:textId="77777777" w:rsidR="00680992" w:rsidRPr="00680992" w:rsidRDefault="00680992" w:rsidP="00680992">
      <w:pPr>
        <w:pStyle w:val="List3"/>
        <w:rPr>
          <w:rFonts w:asciiTheme="minorHAnsi" w:hAnsiTheme="minorHAnsi" w:cstheme="minorHAnsi"/>
          <w:b/>
          <w:szCs w:val="22"/>
        </w:rPr>
      </w:pPr>
      <w:r w:rsidRPr="00680992">
        <w:rPr>
          <w:rFonts w:asciiTheme="minorHAnsi" w:hAnsiTheme="minorHAnsi" w:cstheme="minorHAnsi"/>
          <w:b/>
          <w:szCs w:val="22"/>
        </w:rPr>
        <w:t>(</w:t>
      </w:r>
      <w:proofErr w:type="spellStart"/>
      <w:r w:rsidRPr="00680992">
        <w:rPr>
          <w:rFonts w:asciiTheme="minorHAnsi" w:hAnsiTheme="minorHAnsi" w:cstheme="minorHAnsi"/>
          <w:b/>
          <w:szCs w:val="22"/>
        </w:rPr>
        <w:t>i</w:t>
      </w:r>
      <w:proofErr w:type="spellEnd"/>
      <w:r w:rsidRPr="00680992">
        <w:rPr>
          <w:rFonts w:asciiTheme="minorHAnsi" w:hAnsiTheme="minorHAnsi" w:cstheme="minorHAnsi"/>
          <w:b/>
          <w:szCs w:val="22"/>
        </w:rPr>
        <w:t>)</w:t>
      </w:r>
      <w:r w:rsidRPr="00680992">
        <w:rPr>
          <w:rFonts w:asciiTheme="minorHAnsi" w:hAnsiTheme="minorHAnsi" w:cstheme="minorHAnsi"/>
          <w:b/>
          <w:szCs w:val="22"/>
        </w:rPr>
        <w:tab/>
        <w:t xml:space="preserve">Location on Site: At least 150 feet shall separate additional monument signs from each other. At least 100 feet shall separate additional monument signs from the monument and pole signs permitted in TDC 38.220(1)(a) above and 38.220(1)(c) below. </w:t>
      </w:r>
    </w:p>
    <w:p w14:paraId="3067AF09" w14:textId="77777777" w:rsidR="00680992" w:rsidRPr="00680992" w:rsidRDefault="00680992" w:rsidP="00680992">
      <w:pPr>
        <w:pStyle w:val="List3"/>
        <w:rPr>
          <w:rFonts w:asciiTheme="minorHAnsi" w:hAnsiTheme="minorHAnsi" w:cstheme="minorHAnsi"/>
          <w:b/>
          <w:szCs w:val="22"/>
        </w:rPr>
      </w:pPr>
      <w:r w:rsidRPr="00680992">
        <w:rPr>
          <w:rFonts w:asciiTheme="minorHAnsi" w:hAnsiTheme="minorHAnsi" w:cstheme="minorHAnsi"/>
          <w:b/>
          <w:szCs w:val="22"/>
        </w:rPr>
        <w:t>(ii)</w:t>
      </w:r>
      <w:r w:rsidRPr="00680992">
        <w:rPr>
          <w:rFonts w:asciiTheme="minorHAnsi" w:hAnsiTheme="minorHAnsi" w:cstheme="minorHAnsi"/>
          <w:b/>
          <w:szCs w:val="22"/>
        </w:rPr>
        <w:tab/>
        <w:t xml:space="preserve">Number: One per separate building up to a maximum of four buildings. </w:t>
      </w:r>
    </w:p>
    <w:p w14:paraId="14B2B926" w14:textId="77777777" w:rsidR="00680992" w:rsidRPr="00680992" w:rsidRDefault="00680992" w:rsidP="00680992">
      <w:pPr>
        <w:pStyle w:val="List3"/>
        <w:rPr>
          <w:rFonts w:asciiTheme="minorHAnsi" w:hAnsiTheme="minorHAnsi" w:cstheme="minorHAnsi"/>
          <w:b/>
          <w:szCs w:val="22"/>
        </w:rPr>
      </w:pPr>
      <w:r w:rsidRPr="00680992">
        <w:rPr>
          <w:rFonts w:asciiTheme="minorHAnsi" w:hAnsiTheme="minorHAnsi" w:cstheme="minorHAnsi"/>
          <w:b/>
          <w:szCs w:val="22"/>
        </w:rPr>
        <w:t>(iii)</w:t>
      </w:r>
      <w:r w:rsidRPr="00680992">
        <w:rPr>
          <w:rFonts w:asciiTheme="minorHAnsi" w:hAnsiTheme="minorHAnsi" w:cstheme="minorHAnsi"/>
          <w:b/>
          <w:szCs w:val="22"/>
        </w:rPr>
        <w:tab/>
        <w:t xml:space="preserve">Number of Sides: No more than two. </w:t>
      </w:r>
    </w:p>
    <w:p w14:paraId="2775A838" w14:textId="77777777" w:rsidR="00680992" w:rsidRPr="00680992" w:rsidRDefault="00680992" w:rsidP="00680992">
      <w:pPr>
        <w:pStyle w:val="List3"/>
        <w:rPr>
          <w:rFonts w:asciiTheme="minorHAnsi" w:hAnsiTheme="minorHAnsi" w:cstheme="minorHAnsi"/>
          <w:b/>
          <w:szCs w:val="22"/>
        </w:rPr>
      </w:pPr>
      <w:proofErr w:type="gramStart"/>
      <w:r w:rsidRPr="00680992">
        <w:rPr>
          <w:rFonts w:asciiTheme="minorHAnsi" w:hAnsiTheme="minorHAnsi" w:cstheme="minorHAnsi"/>
          <w:b/>
          <w:szCs w:val="22"/>
        </w:rPr>
        <w:t>(iv)</w:t>
      </w:r>
      <w:r w:rsidRPr="00680992">
        <w:rPr>
          <w:rFonts w:asciiTheme="minorHAnsi" w:hAnsiTheme="minorHAnsi" w:cstheme="minorHAnsi"/>
          <w:b/>
          <w:szCs w:val="22"/>
        </w:rPr>
        <w:tab/>
        <w:t>Height Above Grade</w:t>
      </w:r>
      <w:proofErr w:type="gramEnd"/>
      <w:r w:rsidRPr="00680992">
        <w:rPr>
          <w:rFonts w:asciiTheme="minorHAnsi" w:hAnsiTheme="minorHAnsi" w:cstheme="minorHAnsi"/>
          <w:b/>
          <w:szCs w:val="22"/>
        </w:rPr>
        <w:t xml:space="preserve">: No higher than six feet. </w:t>
      </w:r>
    </w:p>
    <w:p w14:paraId="67C335C5" w14:textId="77777777" w:rsidR="00680992" w:rsidRPr="00680992" w:rsidRDefault="00680992" w:rsidP="00680992">
      <w:pPr>
        <w:pStyle w:val="List3"/>
        <w:rPr>
          <w:rFonts w:asciiTheme="minorHAnsi" w:hAnsiTheme="minorHAnsi" w:cstheme="minorHAnsi"/>
          <w:b/>
          <w:szCs w:val="22"/>
        </w:rPr>
      </w:pPr>
      <w:r w:rsidRPr="00680992">
        <w:rPr>
          <w:rFonts w:asciiTheme="minorHAnsi" w:hAnsiTheme="minorHAnsi" w:cstheme="minorHAnsi"/>
          <w:b/>
          <w:szCs w:val="22"/>
        </w:rPr>
        <w:t>(v)</w:t>
      </w:r>
      <w:r w:rsidRPr="00680992">
        <w:rPr>
          <w:rFonts w:asciiTheme="minorHAnsi" w:hAnsiTheme="minorHAnsi" w:cstheme="minorHAnsi"/>
          <w:b/>
          <w:szCs w:val="22"/>
        </w:rPr>
        <w:tab/>
        <w:t xml:space="preserve">Area: No more than 32 square feet. </w:t>
      </w:r>
    </w:p>
    <w:p w14:paraId="46F2C711" w14:textId="77777777" w:rsidR="00680992" w:rsidRPr="00680992" w:rsidRDefault="00680992" w:rsidP="00680992">
      <w:pPr>
        <w:pStyle w:val="List3"/>
        <w:rPr>
          <w:rFonts w:asciiTheme="minorHAnsi" w:hAnsiTheme="minorHAnsi" w:cstheme="minorHAnsi"/>
          <w:b/>
          <w:szCs w:val="22"/>
        </w:rPr>
      </w:pPr>
      <w:r w:rsidRPr="00680992">
        <w:rPr>
          <w:rFonts w:asciiTheme="minorHAnsi" w:hAnsiTheme="minorHAnsi" w:cstheme="minorHAnsi"/>
          <w:b/>
          <w:szCs w:val="22"/>
        </w:rPr>
        <w:t>(vi)</w:t>
      </w:r>
      <w:r w:rsidRPr="00680992">
        <w:rPr>
          <w:rFonts w:asciiTheme="minorHAnsi" w:hAnsiTheme="minorHAnsi" w:cstheme="minorHAnsi"/>
          <w:b/>
          <w:szCs w:val="22"/>
        </w:rPr>
        <w:tab/>
        <w:t>Letter, Symbol, Logo, Size: See TDC 38.220(1</w:t>
      </w:r>
      <w:proofErr w:type="gramStart"/>
      <w:r w:rsidRPr="00680992">
        <w:rPr>
          <w:rFonts w:asciiTheme="minorHAnsi" w:hAnsiTheme="minorHAnsi" w:cstheme="minorHAnsi"/>
          <w:b/>
          <w:szCs w:val="22"/>
        </w:rPr>
        <w:t>)(</w:t>
      </w:r>
      <w:proofErr w:type="gramEnd"/>
      <w:r w:rsidRPr="00680992">
        <w:rPr>
          <w:rFonts w:asciiTheme="minorHAnsi" w:hAnsiTheme="minorHAnsi" w:cstheme="minorHAnsi"/>
          <w:b/>
          <w:szCs w:val="22"/>
        </w:rPr>
        <w:t xml:space="preserve">a)(v). </w:t>
      </w:r>
    </w:p>
    <w:p w14:paraId="6ACBC4B8" w14:textId="77777777" w:rsidR="00680992" w:rsidRPr="00680992" w:rsidRDefault="00680992" w:rsidP="00680992">
      <w:pPr>
        <w:pStyle w:val="List3"/>
        <w:rPr>
          <w:rFonts w:asciiTheme="minorHAnsi" w:hAnsiTheme="minorHAnsi" w:cstheme="minorHAnsi"/>
          <w:b/>
          <w:szCs w:val="22"/>
        </w:rPr>
      </w:pPr>
      <w:r w:rsidRPr="00680992">
        <w:rPr>
          <w:rFonts w:asciiTheme="minorHAnsi" w:hAnsiTheme="minorHAnsi" w:cstheme="minorHAnsi"/>
          <w:b/>
          <w:szCs w:val="22"/>
        </w:rPr>
        <w:t>(vii)</w:t>
      </w:r>
      <w:r w:rsidRPr="00680992">
        <w:rPr>
          <w:rFonts w:asciiTheme="minorHAnsi" w:hAnsiTheme="minorHAnsi" w:cstheme="minorHAnsi"/>
          <w:b/>
          <w:szCs w:val="22"/>
        </w:rPr>
        <w:tab/>
        <w:t xml:space="preserve">Illumination: Subject to Sign Design Review Standards of TDC 38.075, indirect or internal. </w:t>
      </w:r>
    </w:p>
    <w:p w14:paraId="2646B61D" w14:textId="77777777" w:rsidR="00680992" w:rsidRPr="00680992" w:rsidRDefault="00680992" w:rsidP="00680992">
      <w:pPr>
        <w:pStyle w:val="List3"/>
        <w:rPr>
          <w:rFonts w:asciiTheme="minorHAnsi" w:hAnsiTheme="minorHAnsi" w:cstheme="minorHAnsi"/>
          <w:b/>
          <w:szCs w:val="22"/>
        </w:rPr>
      </w:pPr>
      <w:r w:rsidRPr="00680992">
        <w:rPr>
          <w:rFonts w:asciiTheme="minorHAnsi" w:hAnsiTheme="minorHAnsi" w:cstheme="minorHAnsi"/>
          <w:b/>
          <w:szCs w:val="22"/>
        </w:rPr>
        <w:t>(viii)</w:t>
      </w:r>
      <w:r w:rsidRPr="00680992">
        <w:rPr>
          <w:rFonts w:asciiTheme="minorHAnsi" w:hAnsiTheme="minorHAnsi" w:cstheme="minorHAnsi"/>
          <w:b/>
          <w:szCs w:val="22"/>
        </w:rPr>
        <w:tab/>
        <w:t xml:space="preserve">Design: Subject to Sign Design Review Standards of TDC 38.075. </w:t>
      </w:r>
    </w:p>
    <w:p w14:paraId="01C54657" w14:textId="77777777" w:rsidR="00680992" w:rsidRPr="00680992" w:rsidRDefault="00680992" w:rsidP="00680992">
      <w:pPr>
        <w:pStyle w:val="List2"/>
        <w:rPr>
          <w:rFonts w:asciiTheme="minorHAnsi" w:hAnsiTheme="minorHAnsi" w:cstheme="minorHAnsi"/>
          <w:b/>
          <w:szCs w:val="22"/>
        </w:rPr>
      </w:pPr>
      <w:r w:rsidRPr="00680992">
        <w:rPr>
          <w:rFonts w:asciiTheme="minorHAnsi" w:hAnsiTheme="minorHAnsi" w:cstheme="minorHAnsi"/>
          <w:b/>
          <w:szCs w:val="22"/>
        </w:rPr>
        <w:t>(c)</w:t>
      </w:r>
      <w:r w:rsidRPr="00680992">
        <w:rPr>
          <w:rFonts w:asciiTheme="minorHAnsi" w:hAnsiTheme="minorHAnsi" w:cstheme="minorHAnsi"/>
          <w:b/>
          <w:szCs w:val="22"/>
        </w:rPr>
        <w:tab/>
        <w:t>Pole signs are permitted in place of the monument signs allowed in TDC 38.220(1</w:t>
      </w:r>
      <w:proofErr w:type="gramStart"/>
      <w:r w:rsidRPr="00680992">
        <w:rPr>
          <w:rFonts w:asciiTheme="minorHAnsi" w:hAnsiTheme="minorHAnsi" w:cstheme="minorHAnsi"/>
          <w:b/>
          <w:szCs w:val="22"/>
        </w:rPr>
        <w:t>)(</w:t>
      </w:r>
      <w:proofErr w:type="gramEnd"/>
      <w:r w:rsidRPr="00680992">
        <w:rPr>
          <w:rFonts w:asciiTheme="minorHAnsi" w:hAnsiTheme="minorHAnsi" w:cstheme="minorHAnsi"/>
          <w:b/>
          <w:szCs w:val="22"/>
        </w:rPr>
        <w:t xml:space="preserve">a) above, except on an Arterial Street frontage. If used, the following standards apply: </w:t>
      </w:r>
    </w:p>
    <w:p w14:paraId="082815E1" w14:textId="77777777" w:rsidR="00680992" w:rsidRPr="00680992" w:rsidRDefault="00680992" w:rsidP="00680992">
      <w:pPr>
        <w:pStyle w:val="List3"/>
        <w:rPr>
          <w:rFonts w:asciiTheme="minorHAnsi" w:hAnsiTheme="minorHAnsi" w:cstheme="minorHAnsi"/>
          <w:b/>
          <w:szCs w:val="22"/>
        </w:rPr>
      </w:pPr>
      <w:r w:rsidRPr="00680992">
        <w:rPr>
          <w:rFonts w:asciiTheme="minorHAnsi" w:hAnsiTheme="minorHAnsi" w:cstheme="minorHAnsi"/>
          <w:b/>
          <w:szCs w:val="22"/>
        </w:rPr>
        <w:t>(</w:t>
      </w:r>
      <w:proofErr w:type="spellStart"/>
      <w:r w:rsidRPr="00680992">
        <w:rPr>
          <w:rFonts w:asciiTheme="minorHAnsi" w:hAnsiTheme="minorHAnsi" w:cstheme="minorHAnsi"/>
          <w:b/>
          <w:szCs w:val="22"/>
        </w:rPr>
        <w:t>i</w:t>
      </w:r>
      <w:proofErr w:type="spellEnd"/>
      <w:r w:rsidRPr="00680992">
        <w:rPr>
          <w:rFonts w:asciiTheme="minorHAnsi" w:hAnsiTheme="minorHAnsi" w:cstheme="minorHAnsi"/>
          <w:b/>
          <w:szCs w:val="22"/>
        </w:rPr>
        <w:t>)</w:t>
      </w:r>
      <w:r w:rsidRPr="00680992">
        <w:rPr>
          <w:rFonts w:asciiTheme="minorHAnsi" w:hAnsiTheme="minorHAnsi" w:cstheme="minorHAnsi"/>
          <w:b/>
          <w:szCs w:val="22"/>
        </w:rPr>
        <w:tab/>
        <w:t>Number: One for a single Collector or Local Street frontage lot. Two for a corner lot with two or more Collector or Local Street frontages, provided the signs are not less than 300 feet apart from each other. Two for a through lot with two or more Collector or Local Street frontages, provided no more than one sign is on each frontage. Notwithstanding the preceding sentences in TDC 38.220(1</w:t>
      </w:r>
      <w:proofErr w:type="gramStart"/>
      <w:r w:rsidRPr="00680992">
        <w:rPr>
          <w:rFonts w:asciiTheme="minorHAnsi" w:hAnsiTheme="minorHAnsi" w:cstheme="minorHAnsi"/>
          <w:b/>
          <w:szCs w:val="22"/>
        </w:rPr>
        <w:t>)(</w:t>
      </w:r>
      <w:proofErr w:type="gramEnd"/>
      <w:r w:rsidRPr="00680992">
        <w:rPr>
          <w:rFonts w:asciiTheme="minorHAnsi" w:hAnsiTheme="minorHAnsi" w:cstheme="minorHAnsi"/>
          <w:b/>
          <w:szCs w:val="22"/>
        </w:rPr>
        <w:t>c)(</w:t>
      </w:r>
      <w:proofErr w:type="spellStart"/>
      <w:r w:rsidRPr="00680992">
        <w:rPr>
          <w:rFonts w:asciiTheme="minorHAnsi" w:hAnsiTheme="minorHAnsi" w:cstheme="minorHAnsi"/>
          <w:b/>
          <w:szCs w:val="22"/>
        </w:rPr>
        <w:t>i</w:t>
      </w:r>
      <w:proofErr w:type="spellEnd"/>
      <w:r w:rsidRPr="00680992">
        <w:rPr>
          <w:rFonts w:asciiTheme="minorHAnsi" w:hAnsiTheme="minorHAnsi" w:cstheme="minorHAnsi"/>
          <w:b/>
          <w:szCs w:val="22"/>
        </w:rPr>
        <w:t xml:space="preserve">), a Major Commercial Center is limited to one freestanding pole sign. </w:t>
      </w:r>
    </w:p>
    <w:p w14:paraId="04DC1AE8" w14:textId="77777777" w:rsidR="00680992" w:rsidRPr="00680992" w:rsidRDefault="00680992" w:rsidP="00680992">
      <w:pPr>
        <w:pStyle w:val="List3"/>
        <w:rPr>
          <w:rFonts w:asciiTheme="minorHAnsi" w:hAnsiTheme="minorHAnsi" w:cstheme="minorHAnsi"/>
          <w:b/>
          <w:szCs w:val="22"/>
        </w:rPr>
      </w:pPr>
      <w:r w:rsidRPr="00680992">
        <w:rPr>
          <w:rFonts w:asciiTheme="minorHAnsi" w:hAnsiTheme="minorHAnsi" w:cstheme="minorHAnsi"/>
          <w:b/>
          <w:szCs w:val="22"/>
        </w:rPr>
        <w:t>(ii)</w:t>
      </w:r>
      <w:r w:rsidRPr="00680992">
        <w:rPr>
          <w:rFonts w:asciiTheme="minorHAnsi" w:hAnsiTheme="minorHAnsi" w:cstheme="minorHAnsi"/>
          <w:b/>
          <w:szCs w:val="22"/>
        </w:rPr>
        <w:tab/>
        <w:t xml:space="preserve">Number of Sides: There is no restriction, except Major Commercial Center Signs are limited to two sides. </w:t>
      </w:r>
    </w:p>
    <w:p w14:paraId="0B00E94D" w14:textId="77777777" w:rsidR="00680992" w:rsidRPr="00680992" w:rsidRDefault="00680992" w:rsidP="00680992">
      <w:pPr>
        <w:pStyle w:val="List3"/>
        <w:rPr>
          <w:rFonts w:asciiTheme="minorHAnsi" w:hAnsiTheme="minorHAnsi" w:cstheme="minorHAnsi"/>
          <w:b/>
          <w:szCs w:val="22"/>
        </w:rPr>
      </w:pPr>
      <w:proofErr w:type="gramStart"/>
      <w:r w:rsidRPr="00680992">
        <w:rPr>
          <w:rFonts w:asciiTheme="minorHAnsi" w:hAnsiTheme="minorHAnsi" w:cstheme="minorHAnsi"/>
          <w:b/>
          <w:szCs w:val="22"/>
        </w:rPr>
        <w:t>(iii)</w:t>
      </w:r>
      <w:r w:rsidRPr="00680992">
        <w:rPr>
          <w:rFonts w:asciiTheme="minorHAnsi" w:hAnsiTheme="minorHAnsi" w:cstheme="minorHAnsi"/>
          <w:b/>
          <w:szCs w:val="22"/>
        </w:rPr>
        <w:tab/>
        <w:t>Height Above Grade</w:t>
      </w:r>
      <w:proofErr w:type="gramEnd"/>
      <w:r w:rsidRPr="00680992">
        <w:rPr>
          <w:rFonts w:asciiTheme="minorHAnsi" w:hAnsiTheme="minorHAnsi" w:cstheme="minorHAnsi"/>
          <w:b/>
          <w:szCs w:val="22"/>
        </w:rPr>
        <w:t xml:space="preserve">: No higher than 15 feet, except the Major Commercial Center Sign may be up to 20 feet. </w:t>
      </w:r>
    </w:p>
    <w:p w14:paraId="3D02EDF1" w14:textId="77777777" w:rsidR="00680992" w:rsidRPr="00680992" w:rsidRDefault="00680992" w:rsidP="00680992">
      <w:pPr>
        <w:pStyle w:val="List3"/>
        <w:rPr>
          <w:rFonts w:asciiTheme="minorHAnsi" w:hAnsiTheme="minorHAnsi" w:cstheme="minorHAnsi"/>
          <w:b/>
          <w:szCs w:val="22"/>
        </w:rPr>
      </w:pPr>
      <w:proofErr w:type="gramStart"/>
      <w:r w:rsidRPr="00680992">
        <w:rPr>
          <w:rFonts w:asciiTheme="minorHAnsi" w:hAnsiTheme="minorHAnsi" w:cstheme="minorHAnsi"/>
          <w:b/>
          <w:szCs w:val="22"/>
        </w:rPr>
        <w:t>(iv)</w:t>
      </w:r>
      <w:r w:rsidRPr="00680992">
        <w:rPr>
          <w:rFonts w:asciiTheme="minorHAnsi" w:hAnsiTheme="minorHAnsi" w:cstheme="minorHAnsi"/>
          <w:b/>
          <w:szCs w:val="22"/>
        </w:rPr>
        <w:tab/>
        <w:t>Height</w:t>
      </w:r>
      <w:proofErr w:type="gramEnd"/>
      <w:r w:rsidRPr="00680992">
        <w:rPr>
          <w:rFonts w:asciiTheme="minorHAnsi" w:hAnsiTheme="minorHAnsi" w:cstheme="minorHAnsi"/>
          <w:b/>
          <w:szCs w:val="22"/>
        </w:rPr>
        <w:t xml:space="preserve"> of Sign Face: No higher than eight feet, except the Major Commercial Center Sign may be up to ten feet. </w:t>
      </w:r>
    </w:p>
    <w:p w14:paraId="346F079D" w14:textId="77777777" w:rsidR="00680992" w:rsidRPr="00680992" w:rsidRDefault="00680992" w:rsidP="00680992">
      <w:pPr>
        <w:pStyle w:val="List3"/>
        <w:rPr>
          <w:rFonts w:asciiTheme="minorHAnsi" w:hAnsiTheme="minorHAnsi" w:cstheme="minorHAnsi"/>
          <w:b/>
          <w:szCs w:val="22"/>
        </w:rPr>
      </w:pPr>
      <w:r w:rsidRPr="00680992">
        <w:rPr>
          <w:rFonts w:asciiTheme="minorHAnsi" w:hAnsiTheme="minorHAnsi" w:cstheme="minorHAnsi"/>
          <w:b/>
          <w:szCs w:val="22"/>
        </w:rPr>
        <w:t>(v)</w:t>
      </w:r>
      <w:r w:rsidRPr="00680992">
        <w:rPr>
          <w:rFonts w:asciiTheme="minorHAnsi" w:hAnsiTheme="minorHAnsi" w:cstheme="minorHAnsi"/>
          <w:b/>
          <w:szCs w:val="22"/>
        </w:rPr>
        <w:tab/>
        <w:t xml:space="preserve">Area: No more than 48 square feet, except the Major Commercial Center sign may be up to 100 square feet. </w:t>
      </w:r>
    </w:p>
    <w:p w14:paraId="2283F11F" w14:textId="77777777" w:rsidR="00680992" w:rsidRPr="00680992" w:rsidRDefault="00680992" w:rsidP="00680992">
      <w:pPr>
        <w:pStyle w:val="List3"/>
        <w:rPr>
          <w:rFonts w:asciiTheme="minorHAnsi" w:hAnsiTheme="minorHAnsi" w:cstheme="minorHAnsi"/>
          <w:b/>
          <w:szCs w:val="22"/>
        </w:rPr>
      </w:pPr>
      <w:r w:rsidRPr="00680992">
        <w:rPr>
          <w:rFonts w:asciiTheme="minorHAnsi" w:hAnsiTheme="minorHAnsi" w:cstheme="minorHAnsi"/>
          <w:b/>
          <w:szCs w:val="22"/>
        </w:rPr>
        <w:t>(vi)</w:t>
      </w:r>
      <w:r w:rsidRPr="00680992">
        <w:rPr>
          <w:rFonts w:asciiTheme="minorHAnsi" w:hAnsiTheme="minorHAnsi" w:cstheme="minorHAnsi"/>
          <w:b/>
          <w:szCs w:val="22"/>
        </w:rPr>
        <w:tab/>
        <w:t>Letter, Symbol, Logo, Size: See TDC 38.220(1</w:t>
      </w:r>
      <w:proofErr w:type="gramStart"/>
      <w:r w:rsidRPr="00680992">
        <w:rPr>
          <w:rFonts w:asciiTheme="minorHAnsi" w:hAnsiTheme="minorHAnsi" w:cstheme="minorHAnsi"/>
          <w:b/>
          <w:szCs w:val="22"/>
        </w:rPr>
        <w:t>)(</w:t>
      </w:r>
      <w:proofErr w:type="gramEnd"/>
      <w:r w:rsidRPr="00680992">
        <w:rPr>
          <w:rFonts w:asciiTheme="minorHAnsi" w:hAnsiTheme="minorHAnsi" w:cstheme="minorHAnsi"/>
          <w:b/>
          <w:szCs w:val="22"/>
        </w:rPr>
        <w:t xml:space="preserve">a)(v). </w:t>
      </w:r>
    </w:p>
    <w:p w14:paraId="3AC5F8FF" w14:textId="77777777" w:rsidR="00680992" w:rsidRPr="00680992" w:rsidRDefault="00680992" w:rsidP="00680992">
      <w:pPr>
        <w:pStyle w:val="List3"/>
        <w:rPr>
          <w:rFonts w:asciiTheme="minorHAnsi" w:hAnsiTheme="minorHAnsi" w:cstheme="minorHAnsi"/>
          <w:b/>
          <w:szCs w:val="22"/>
        </w:rPr>
      </w:pPr>
      <w:r w:rsidRPr="00680992">
        <w:rPr>
          <w:rFonts w:asciiTheme="minorHAnsi" w:hAnsiTheme="minorHAnsi" w:cstheme="minorHAnsi"/>
          <w:b/>
          <w:szCs w:val="22"/>
        </w:rPr>
        <w:t>(vii)</w:t>
      </w:r>
      <w:r w:rsidRPr="00680992">
        <w:rPr>
          <w:rFonts w:asciiTheme="minorHAnsi" w:hAnsiTheme="minorHAnsi" w:cstheme="minorHAnsi"/>
          <w:b/>
          <w:szCs w:val="22"/>
        </w:rPr>
        <w:tab/>
        <w:t xml:space="preserve">Illumination: Subject to Sign Design Review Standards of TDC 38.075, direct, indirect or internal, except the Major Commercial Center sign shall not be direct. </w:t>
      </w:r>
    </w:p>
    <w:p w14:paraId="57EE1418" w14:textId="77777777" w:rsidR="00680992" w:rsidRPr="00680992" w:rsidRDefault="00680992" w:rsidP="00680992">
      <w:pPr>
        <w:pStyle w:val="List3"/>
        <w:rPr>
          <w:rFonts w:asciiTheme="minorHAnsi" w:hAnsiTheme="minorHAnsi" w:cstheme="minorHAnsi"/>
          <w:b/>
          <w:szCs w:val="22"/>
        </w:rPr>
      </w:pPr>
      <w:r w:rsidRPr="00680992">
        <w:rPr>
          <w:rFonts w:asciiTheme="minorHAnsi" w:hAnsiTheme="minorHAnsi" w:cstheme="minorHAnsi"/>
          <w:b/>
          <w:szCs w:val="22"/>
        </w:rPr>
        <w:t>(viii)</w:t>
      </w:r>
      <w:r w:rsidRPr="00680992">
        <w:rPr>
          <w:rFonts w:asciiTheme="minorHAnsi" w:hAnsiTheme="minorHAnsi" w:cstheme="minorHAnsi"/>
          <w:b/>
          <w:szCs w:val="22"/>
        </w:rPr>
        <w:tab/>
        <w:t xml:space="preserve">Mechanical </w:t>
      </w:r>
      <w:proofErr w:type="spellStart"/>
      <w:r w:rsidRPr="00680992">
        <w:rPr>
          <w:rFonts w:asciiTheme="minorHAnsi" w:hAnsiTheme="minorHAnsi" w:cstheme="minorHAnsi"/>
          <w:b/>
          <w:szCs w:val="22"/>
        </w:rPr>
        <w:t>Readerboard</w:t>
      </w:r>
      <w:proofErr w:type="spellEnd"/>
      <w:r w:rsidRPr="00680992">
        <w:rPr>
          <w:rFonts w:asciiTheme="minorHAnsi" w:hAnsiTheme="minorHAnsi" w:cstheme="minorHAnsi"/>
          <w:b/>
          <w:szCs w:val="22"/>
        </w:rPr>
        <w:t xml:space="preserve">: For churches, cinemas and theaters, the sign may be a mechanical </w:t>
      </w:r>
      <w:proofErr w:type="spellStart"/>
      <w:r w:rsidRPr="00680992">
        <w:rPr>
          <w:rFonts w:asciiTheme="minorHAnsi" w:hAnsiTheme="minorHAnsi" w:cstheme="minorHAnsi"/>
          <w:b/>
          <w:szCs w:val="22"/>
        </w:rPr>
        <w:t>readerboard</w:t>
      </w:r>
      <w:proofErr w:type="spellEnd"/>
      <w:r w:rsidRPr="00680992">
        <w:rPr>
          <w:rFonts w:asciiTheme="minorHAnsi" w:hAnsiTheme="minorHAnsi" w:cstheme="minorHAnsi"/>
          <w:b/>
          <w:szCs w:val="22"/>
        </w:rPr>
        <w:t xml:space="preserve">. </w:t>
      </w:r>
    </w:p>
    <w:p w14:paraId="6385C52B" w14:textId="77777777" w:rsidR="00680992" w:rsidRPr="00680992" w:rsidRDefault="00680992" w:rsidP="00680992">
      <w:pPr>
        <w:pStyle w:val="List3"/>
        <w:rPr>
          <w:rFonts w:asciiTheme="minorHAnsi" w:hAnsiTheme="minorHAnsi" w:cstheme="minorHAnsi"/>
          <w:b/>
          <w:szCs w:val="22"/>
        </w:rPr>
      </w:pPr>
      <w:r w:rsidRPr="00680992">
        <w:rPr>
          <w:rFonts w:asciiTheme="minorHAnsi" w:hAnsiTheme="minorHAnsi" w:cstheme="minorHAnsi"/>
          <w:b/>
          <w:szCs w:val="22"/>
        </w:rPr>
        <w:t>(ix)</w:t>
      </w:r>
      <w:r w:rsidRPr="00680992">
        <w:rPr>
          <w:rFonts w:asciiTheme="minorHAnsi" w:hAnsiTheme="minorHAnsi" w:cstheme="minorHAnsi"/>
          <w:b/>
          <w:szCs w:val="22"/>
        </w:rPr>
        <w:tab/>
        <w:t xml:space="preserve">Design. Subject to Sign Design Review Standards of TDC 38.075. </w:t>
      </w:r>
    </w:p>
    <w:p w14:paraId="1DE9E468" w14:textId="77777777" w:rsidR="00680992" w:rsidRPr="00680992" w:rsidRDefault="00680992" w:rsidP="00680992">
      <w:pPr>
        <w:pStyle w:val="List2"/>
        <w:rPr>
          <w:rFonts w:asciiTheme="minorHAnsi" w:hAnsiTheme="minorHAnsi" w:cstheme="minorHAnsi"/>
          <w:b/>
          <w:szCs w:val="22"/>
        </w:rPr>
      </w:pPr>
      <w:r w:rsidRPr="00680992">
        <w:rPr>
          <w:rFonts w:asciiTheme="minorHAnsi" w:hAnsiTheme="minorHAnsi" w:cstheme="minorHAnsi"/>
          <w:b/>
          <w:szCs w:val="22"/>
        </w:rPr>
        <w:lastRenderedPageBreak/>
        <w:t>(d)</w:t>
      </w:r>
      <w:r w:rsidRPr="00680992">
        <w:rPr>
          <w:rFonts w:asciiTheme="minorHAnsi" w:hAnsiTheme="minorHAnsi" w:cstheme="minorHAnsi"/>
          <w:b/>
          <w:szCs w:val="22"/>
        </w:rPr>
        <w:tab/>
        <w:t xml:space="preserve">Wall Signs Are Permitted. If used, the following standards apply: </w:t>
      </w:r>
    </w:p>
    <w:p w14:paraId="30EC1ED5" w14:textId="77777777" w:rsidR="00680992" w:rsidRPr="00680992" w:rsidRDefault="00680992" w:rsidP="00680992">
      <w:pPr>
        <w:pStyle w:val="List3"/>
        <w:rPr>
          <w:rFonts w:asciiTheme="minorHAnsi" w:hAnsiTheme="minorHAnsi" w:cstheme="minorHAnsi"/>
          <w:b/>
          <w:szCs w:val="22"/>
        </w:rPr>
      </w:pPr>
      <w:r w:rsidRPr="00680992">
        <w:rPr>
          <w:rFonts w:asciiTheme="minorHAnsi" w:hAnsiTheme="minorHAnsi" w:cstheme="minorHAnsi"/>
          <w:b/>
          <w:szCs w:val="22"/>
        </w:rPr>
        <w:t>(</w:t>
      </w:r>
      <w:proofErr w:type="spellStart"/>
      <w:r w:rsidRPr="00680992">
        <w:rPr>
          <w:rFonts w:asciiTheme="minorHAnsi" w:hAnsiTheme="minorHAnsi" w:cstheme="minorHAnsi"/>
          <w:b/>
          <w:szCs w:val="22"/>
        </w:rPr>
        <w:t>i</w:t>
      </w:r>
      <w:proofErr w:type="spellEnd"/>
      <w:r w:rsidRPr="00680992">
        <w:rPr>
          <w:rFonts w:asciiTheme="minorHAnsi" w:hAnsiTheme="minorHAnsi" w:cstheme="minorHAnsi"/>
          <w:b/>
          <w:szCs w:val="22"/>
        </w:rPr>
        <w:t>)</w:t>
      </w:r>
      <w:r w:rsidRPr="00680992">
        <w:rPr>
          <w:rFonts w:asciiTheme="minorHAnsi" w:hAnsiTheme="minorHAnsi" w:cstheme="minorHAnsi"/>
          <w:b/>
          <w:szCs w:val="22"/>
        </w:rPr>
        <w:tab/>
        <w:t xml:space="preserve">Number: One on each owned or leased wall not to exceed four walls of a building. For walls not oriented toward and not located within 150 feet of the Wetland Protected Area or a Natural Resource Protection Overlay District (NRPO) as shown on Map 72-1, two wall signs are allowed on an owned or leased wall of 4,000-4,999.99 square feet provided the distance between the two signs is greater than 25 feet, and three wall signs on an owned or leased wall equal to or greater than 5,000 square feet. </w:t>
      </w:r>
    </w:p>
    <w:p w14:paraId="6D679BEE" w14:textId="77777777" w:rsidR="00680992" w:rsidRPr="00680992" w:rsidRDefault="00680992" w:rsidP="00680992">
      <w:pPr>
        <w:pStyle w:val="List3"/>
        <w:rPr>
          <w:rFonts w:asciiTheme="minorHAnsi" w:hAnsiTheme="minorHAnsi" w:cstheme="minorHAnsi"/>
          <w:b/>
          <w:szCs w:val="22"/>
        </w:rPr>
      </w:pPr>
      <w:r w:rsidRPr="00680992">
        <w:rPr>
          <w:rFonts w:asciiTheme="minorHAnsi" w:hAnsiTheme="minorHAnsi" w:cstheme="minorHAnsi"/>
          <w:b/>
          <w:szCs w:val="22"/>
        </w:rPr>
        <w:t>(ii)</w:t>
      </w:r>
      <w:r w:rsidRPr="00680992">
        <w:rPr>
          <w:rFonts w:asciiTheme="minorHAnsi" w:hAnsiTheme="minorHAnsi" w:cstheme="minorHAnsi"/>
          <w:b/>
          <w:szCs w:val="22"/>
        </w:rPr>
        <w:tab/>
        <w:t xml:space="preserve">Number of Sides: No more than one. </w:t>
      </w:r>
    </w:p>
    <w:p w14:paraId="3AD5EF66" w14:textId="77777777" w:rsidR="00680992" w:rsidRPr="00680992" w:rsidRDefault="00680992" w:rsidP="00680992">
      <w:pPr>
        <w:pStyle w:val="List3"/>
        <w:rPr>
          <w:rFonts w:asciiTheme="minorHAnsi" w:hAnsiTheme="minorHAnsi" w:cstheme="minorHAnsi"/>
          <w:b/>
          <w:szCs w:val="22"/>
        </w:rPr>
      </w:pPr>
      <w:proofErr w:type="gramStart"/>
      <w:r w:rsidRPr="00680992">
        <w:rPr>
          <w:rFonts w:asciiTheme="minorHAnsi" w:hAnsiTheme="minorHAnsi" w:cstheme="minorHAnsi"/>
          <w:b/>
          <w:szCs w:val="22"/>
        </w:rPr>
        <w:t>(iii)</w:t>
      </w:r>
      <w:r w:rsidRPr="00680992">
        <w:rPr>
          <w:rFonts w:asciiTheme="minorHAnsi" w:hAnsiTheme="minorHAnsi" w:cstheme="minorHAnsi"/>
          <w:b/>
          <w:szCs w:val="22"/>
        </w:rPr>
        <w:tab/>
        <w:t>Height Above Grade</w:t>
      </w:r>
      <w:proofErr w:type="gramEnd"/>
      <w:r w:rsidRPr="00680992">
        <w:rPr>
          <w:rFonts w:asciiTheme="minorHAnsi" w:hAnsiTheme="minorHAnsi" w:cstheme="minorHAnsi"/>
          <w:b/>
          <w:szCs w:val="22"/>
        </w:rPr>
        <w:t xml:space="preserve">: No higher than the height of the sign band on the owned or leased space. </w:t>
      </w:r>
    </w:p>
    <w:p w14:paraId="3C4DF24C" w14:textId="77777777" w:rsidR="00680992" w:rsidRPr="00680992" w:rsidRDefault="00680992" w:rsidP="00FC31F4">
      <w:pPr>
        <w:pStyle w:val="List3"/>
        <w:rPr>
          <w:rFonts w:asciiTheme="minorHAnsi" w:hAnsiTheme="minorHAnsi" w:cstheme="minorHAnsi"/>
          <w:b/>
          <w:szCs w:val="22"/>
        </w:rPr>
      </w:pPr>
      <w:r w:rsidRPr="00680992">
        <w:rPr>
          <w:rFonts w:asciiTheme="minorHAnsi" w:hAnsiTheme="minorHAnsi" w:cstheme="minorHAnsi"/>
          <w:b/>
          <w:szCs w:val="22"/>
        </w:rPr>
        <w:t>(iv)</w:t>
      </w:r>
      <w:r w:rsidRPr="00680992">
        <w:rPr>
          <w:rFonts w:asciiTheme="minorHAnsi" w:hAnsiTheme="minorHAnsi" w:cstheme="minorHAnsi"/>
          <w:b/>
          <w:szCs w:val="22"/>
        </w:rPr>
        <w:tab/>
        <w:t xml:space="preserve">Height of Sign Face: No higher than four feet provided no letter or number (does not include logos, caricatures, scenes, non-letters and non-numerical symbols) shall be more than two feet when erected on owned or leased walls whose area is less than 4,000 square feet, and no higher than four feet for letters, numbers, logos, caricatures, scenes and symbols when erected on owned or leased walls equal to or greater than 4,000 square feet. If a sign's square footage is less than ½ the maximum area allowed, then the height of the sign can be doubled. If the sign height is doubled, the height of any logo, symbols, caricatures or scenes may be up to five feet. </w:t>
      </w:r>
    </w:p>
    <w:p w14:paraId="15552A13" w14:textId="77777777" w:rsidR="00680992" w:rsidRPr="00680992" w:rsidRDefault="00680992" w:rsidP="00FC31F4">
      <w:pPr>
        <w:pStyle w:val="List3"/>
        <w:rPr>
          <w:rFonts w:asciiTheme="minorHAnsi" w:hAnsiTheme="minorHAnsi" w:cstheme="minorHAnsi"/>
          <w:b/>
          <w:szCs w:val="22"/>
        </w:rPr>
      </w:pPr>
      <w:r w:rsidRPr="00680992">
        <w:rPr>
          <w:rFonts w:asciiTheme="minorHAnsi" w:hAnsiTheme="minorHAnsi" w:cstheme="minorHAnsi"/>
          <w:b/>
          <w:szCs w:val="22"/>
        </w:rPr>
        <w:t>(v)</w:t>
      </w:r>
      <w:r w:rsidRPr="00680992">
        <w:rPr>
          <w:rFonts w:asciiTheme="minorHAnsi" w:hAnsiTheme="minorHAnsi" w:cstheme="minorHAnsi"/>
          <w:b/>
          <w:szCs w:val="22"/>
        </w:rPr>
        <w:tab/>
        <w:t xml:space="preserve">Area: For owned or leased walls whose area is 0 to 400 square feet, a sign area of at least 24 square feet or ten percent of the wall area is allowed, whichever is greater. For walls whose area is 400 to 3,999.9 square feet, a sign area of no more than 40 square feet is allowed. For walls not oriented toward and not located within 150 feet of the Wetland Protected Area or a NRPO District as shown on Map 72-1, a total sign area of up to 100 square feet is allowed for a wall 4,000-4,999.9 square feet provided that when two wall signs are erected neither sign is larger than 75 square feet, and for walls equal to or greater than 5,000 square feet, a sign area of up to 150 square feet is allowed. </w:t>
      </w:r>
    </w:p>
    <w:p w14:paraId="7F3BD3EB" w14:textId="77777777" w:rsidR="00680992" w:rsidRPr="00680992" w:rsidRDefault="00680992" w:rsidP="00FC31F4">
      <w:pPr>
        <w:pStyle w:val="List3"/>
        <w:rPr>
          <w:rFonts w:asciiTheme="minorHAnsi" w:hAnsiTheme="minorHAnsi" w:cstheme="minorHAnsi"/>
          <w:b/>
          <w:szCs w:val="22"/>
        </w:rPr>
      </w:pPr>
      <w:proofErr w:type="gramStart"/>
      <w:r w:rsidRPr="00680992">
        <w:rPr>
          <w:rFonts w:asciiTheme="minorHAnsi" w:hAnsiTheme="minorHAnsi" w:cstheme="minorHAnsi"/>
          <w:b/>
          <w:szCs w:val="22"/>
        </w:rPr>
        <w:t>(vi)</w:t>
      </w:r>
      <w:r w:rsidRPr="00680992">
        <w:rPr>
          <w:rFonts w:asciiTheme="minorHAnsi" w:hAnsiTheme="minorHAnsi" w:cstheme="minorHAnsi"/>
          <w:b/>
          <w:szCs w:val="22"/>
        </w:rPr>
        <w:tab/>
        <w:t>Illumination</w:t>
      </w:r>
      <w:proofErr w:type="gramEnd"/>
      <w:r w:rsidRPr="00680992">
        <w:rPr>
          <w:rFonts w:asciiTheme="minorHAnsi" w:hAnsiTheme="minorHAnsi" w:cstheme="minorHAnsi"/>
          <w:b/>
          <w:szCs w:val="22"/>
        </w:rPr>
        <w:t xml:space="preserve">: Direct, indirect or internal. </w:t>
      </w:r>
    </w:p>
    <w:p w14:paraId="353DE757" w14:textId="77777777" w:rsidR="00680992" w:rsidRPr="00680992" w:rsidRDefault="00680992" w:rsidP="00FC31F4">
      <w:pPr>
        <w:pStyle w:val="List3"/>
        <w:rPr>
          <w:rFonts w:asciiTheme="minorHAnsi" w:hAnsiTheme="minorHAnsi" w:cstheme="minorHAnsi"/>
          <w:b/>
          <w:szCs w:val="22"/>
        </w:rPr>
      </w:pPr>
      <w:r w:rsidRPr="00680992">
        <w:rPr>
          <w:rFonts w:asciiTheme="minorHAnsi" w:hAnsiTheme="minorHAnsi" w:cstheme="minorHAnsi"/>
          <w:b/>
          <w:szCs w:val="22"/>
        </w:rPr>
        <w:t>(vii)</w:t>
      </w:r>
      <w:r w:rsidRPr="00680992">
        <w:rPr>
          <w:rFonts w:asciiTheme="minorHAnsi" w:hAnsiTheme="minorHAnsi" w:cstheme="minorHAnsi"/>
          <w:b/>
          <w:szCs w:val="22"/>
        </w:rPr>
        <w:tab/>
        <w:t xml:space="preserve">Mechanical </w:t>
      </w:r>
      <w:proofErr w:type="spellStart"/>
      <w:r w:rsidRPr="00680992">
        <w:rPr>
          <w:rFonts w:asciiTheme="minorHAnsi" w:hAnsiTheme="minorHAnsi" w:cstheme="minorHAnsi"/>
          <w:b/>
          <w:szCs w:val="22"/>
        </w:rPr>
        <w:t>Readerboard</w:t>
      </w:r>
      <w:proofErr w:type="spellEnd"/>
      <w:r w:rsidRPr="00680992">
        <w:rPr>
          <w:rFonts w:asciiTheme="minorHAnsi" w:hAnsiTheme="minorHAnsi" w:cstheme="minorHAnsi"/>
          <w:b/>
          <w:szCs w:val="22"/>
        </w:rPr>
        <w:t xml:space="preserve">: For churches, cinemas and theaters the sign may be a mechanical </w:t>
      </w:r>
      <w:proofErr w:type="spellStart"/>
      <w:r w:rsidRPr="00680992">
        <w:rPr>
          <w:rFonts w:asciiTheme="minorHAnsi" w:hAnsiTheme="minorHAnsi" w:cstheme="minorHAnsi"/>
          <w:b/>
          <w:szCs w:val="22"/>
        </w:rPr>
        <w:t>readerboard</w:t>
      </w:r>
      <w:proofErr w:type="spellEnd"/>
      <w:r w:rsidRPr="00680992">
        <w:rPr>
          <w:rFonts w:asciiTheme="minorHAnsi" w:hAnsiTheme="minorHAnsi" w:cstheme="minorHAnsi"/>
          <w:b/>
          <w:szCs w:val="22"/>
        </w:rPr>
        <w:t xml:space="preserve">. </w:t>
      </w:r>
    </w:p>
    <w:p w14:paraId="22E0CFF2" w14:textId="77777777" w:rsidR="00680992" w:rsidRPr="00680992" w:rsidRDefault="00680992" w:rsidP="00FC31F4">
      <w:pPr>
        <w:pStyle w:val="List1"/>
        <w:spacing w:before="0" w:after="0"/>
        <w:rPr>
          <w:rFonts w:asciiTheme="minorHAnsi" w:hAnsiTheme="minorHAnsi" w:cstheme="minorHAnsi"/>
          <w:b/>
          <w:sz w:val="22"/>
          <w:szCs w:val="22"/>
        </w:rPr>
      </w:pPr>
      <w:r w:rsidRPr="00680992">
        <w:rPr>
          <w:rFonts w:asciiTheme="minorHAnsi" w:hAnsiTheme="minorHAnsi" w:cstheme="minorHAnsi"/>
          <w:b/>
          <w:sz w:val="22"/>
          <w:szCs w:val="22"/>
        </w:rPr>
        <w:t>(2)</w:t>
      </w:r>
      <w:r w:rsidRPr="00680992">
        <w:rPr>
          <w:rFonts w:asciiTheme="minorHAnsi" w:hAnsiTheme="minorHAnsi" w:cstheme="minorHAnsi"/>
          <w:b/>
          <w:sz w:val="22"/>
          <w:szCs w:val="22"/>
        </w:rPr>
        <w:tab/>
        <w:t xml:space="preserve">On Multi-story Buildings and on buildings within a Major Commercial Center or within the Central Design District, additional building sign types are permitted subject to the following standards: </w:t>
      </w:r>
    </w:p>
    <w:p w14:paraId="25963A80" w14:textId="77777777" w:rsidR="00680992" w:rsidRPr="00680992" w:rsidRDefault="00680992" w:rsidP="00680992">
      <w:pPr>
        <w:pStyle w:val="List2"/>
        <w:rPr>
          <w:rFonts w:asciiTheme="minorHAnsi" w:hAnsiTheme="minorHAnsi" w:cstheme="minorHAnsi"/>
          <w:b/>
          <w:szCs w:val="22"/>
        </w:rPr>
      </w:pPr>
      <w:r w:rsidRPr="00680992">
        <w:rPr>
          <w:rFonts w:asciiTheme="minorHAnsi" w:hAnsiTheme="minorHAnsi" w:cstheme="minorHAnsi"/>
          <w:b/>
          <w:szCs w:val="22"/>
        </w:rPr>
        <w:t>(a)</w:t>
      </w:r>
      <w:r w:rsidRPr="00680992">
        <w:rPr>
          <w:rFonts w:asciiTheme="minorHAnsi" w:hAnsiTheme="minorHAnsi" w:cstheme="minorHAnsi"/>
          <w:b/>
          <w:szCs w:val="22"/>
        </w:rPr>
        <w:tab/>
      </w:r>
      <w:r w:rsidRPr="00680992">
        <w:rPr>
          <w:rFonts w:asciiTheme="minorHAnsi" w:hAnsiTheme="minorHAnsi" w:cstheme="minorHAnsi"/>
          <w:b/>
          <w:i/>
          <w:szCs w:val="22"/>
        </w:rPr>
        <w:t>Directory-style Wall Signs.</w:t>
      </w:r>
      <w:r w:rsidRPr="00680992">
        <w:rPr>
          <w:rFonts w:asciiTheme="minorHAnsi" w:hAnsiTheme="minorHAnsi" w:cstheme="minorHAnsi"/>
          <w:b/>
          <w:szCs w:val="22"/>
        </w:rPr>
        <w:t xml:space="preserve"> One directory-style wall sign may be erected in place of one wall sign allowed in TDC 38.220(1</w:t>
      </w:r>
      <w:proofErr w:type="gramStart"/>
      <w:r w:rsidRPr="00680992">
        <w:rPr>
          <w:rFonts w:asciiTheme="minorHAnsi" w:hAnsiTheme="minorHAnsi" w:cstheme="minorHAnsi"/>
          <w:b/>
          <w:szCs w:val="22"/>
        </w:rPr>
        <w:t>)(</w:t>
      </w:r>
      <w:proofErr w:type="gramEnd"/>
      <w:r w:rsidRPr="00680992">
        <w:rPr>
          <w:rFonts w:asciiTheme="minorHAnsi" w:hAnsiTheme="minorHAnsi" w:cstheme="minorHAnsi"/>
          <w:b/>
          <w:szCs w:val="22"/>
        </w:rPr>
        <w:t xml:space="preserve">d) or a blade or shingle sign allowed in TDC 38.220(2)(b). If used, the following standards apply: </w:t>
      </w:r>
    </w:p>
    <w:p w14:paraId="0F4F1433" w14:textId="77777777" w:rsidR="00680992" w:rsidRPr="00680992" w:rsidRDefault="00680992" w:rsidP="00680992">
      <w:pPr>
        <w:pStyle w:val="List3"/>
        <w:rPr>
          <w:rFonts w:asciiTheme="minorHAnsi" w:hAnsiTheme="minorHAnsi" w:cstheme="minorHAnsi"/>
          <w:b/>
          <w:szCs w:val="22"/>
        </w:rPr>
      </w:pPr>
      <w:r w:rsidRPr="00680992">
        <w:rPr>
          <w:rFonts w:asciiTheme="minorHAnsi" w:hAnsiTheme="minorHAnsi" w:cstheme="minorHAnsi"/>
          <w:b/>
          <w:szCs w:val="22"/>
        </w:rPr>
        <w:t>(</w:t>
      </w:r>
      <w:proofErr w:type="spellStart"/>
      <w:r w:rsidRPr="00680992">
        <w:rPr>
          <w:rFonts w:asciiTheme="minorHAnsi" w:hAnsiTheme="minorHAnsi" w:cstheme="minorHAnsi"/>
          <w:b/>
          <w:szCs w:val="22"/>
        </w:rPr>
        <w:t>i</w:t>
      </w:r>
      <w:proofErr w:type="spellEnd"/>
      <w:r w:rsidRPr="00680992">
        <w:rPr>
          <w:rFonts w:asciiTheme="minorHAnsi" w:hAnsiTheme="minorHAnsi" w:cstheme="minorHAnsi"/>
          <w:b/>
          <w:szCs w:val="22"/>
        </w:rPr>
        <w:t>)</w:t>
      </w:r>
      <w:r w:rsidRPr="00680992">
        <w:rPr>
          <w:rFonts w:asciiTheme="minorHAnsi" w:hAnsiTheme="minorHAnsi" w:cstheme="minorHAnsi"/>
          <w:b/>
          <w:szCs w:val="22"/>
        </w:rPr>
        <w:tab/>
        <w:t>Location: Directory-style wall signs shall be placed within the primary sign band or in place of a 2nd Floor Tenant Wall sign as allowed in TDC 38.220(2</w:t>
      </w:r>
      <w:proofErr w:type="gramStart"/>
      <w:r w:rsidRPr="00680992">
        <w:rPr>
          <w:rFonts w:asciiTheme="minorHAnsi" w:hAnsiTheme="minorHAnsi" w:cstheme="minorHAnsi"/>
          <w:b/>
          <w:szCs w:val="22"/>
        </w:rPr>
        <w:t>)(</w:t>
      </w:r>
      <w:proofErr w:type="gramEnd"/>
      <w:r w:rsidRPr="00680992">
        <w:rPr>
          <w:rFonts w:asciiTheme="minorHAnsi" w:hAnsiTheme="minorHAnsi" w:cstheme="minorHAnsi"/>
          <w:b/>
          <w:szCs w:val="22"/>
        </w:rPr>
        <w:t xml:space="preserve">c). </w:t>
      </w:r>
    </w:p>
    <w:p w14:paraId="67C697E1" w14:textId="77777777" w:rsidR="00680992" w:rsidRPr="00680992" w:rsidRDefault="00680992" w:rsidP="00680992">
      <w:pPr>
        <w:pStyle w:val="List3"/>
        <w:rPr>
          <w:rFonts w:asciiTheme="minorHAnsi" w:hAnsiTheme="minorHAnsi" w:cstheme="minorHAnsi"/>
          <w:b/>
          <w:szCs w:val="22"/>
        </w:rPr>
      </w:pPr>
      <w:r w:rsidRPr="00680992">
        <w:rPr>
          <w:rFonts w:asciiTheme="minorHAnsi" w:hAnsiTheme="minorHAnsi" w:cstheme="minorHAnsi"/>
          <w:b/>
          <w:szCs w:val="22"/>
        </w:rPr>
        <w:t>(ii)</w:t>
      </w:r>
      <w:r w:rsidRPr="00680992">
        <w:rPr>
          <w:rFonts w:asciiTheme="minorHAnsi" w:hAnsiTheme="minorHAnsi" w:cstheme="minorHAnsi"/>
          <w:b/>
          <w:szCs w:val="22"/>
        </w:rPr>
        <w:tab/>
        <w:t>Number: In place of one wall sign allowed in TDC 38.220(1</w:t>
      </w:r>
      <w:proofErr w:type="gramStart"/>
      <w:r w:rsidRPr="00680992">
        <w:rPr>
          <w:rFonts w:asciiTheme="minorHAnsi" w:hAnsiTheme="minorHAnsi" w:cstheme="minorHAnsi"/>
          <w:b/>
          <w:szCs w:val="22"/>
        </w:rPr>
        <w:t>)(</w:t>
      </w:r>
      <w:proofErr w:type="gramEnd"/>
      <w:r w:rsidRPr="00680992">
        <w:rPr>
          <w:rFonts w:asciiTheme="minorHAnsi" w:hAnsiTheme="minorHAnsi" w:cstheme="minorHAnsi"/>
          <w:b/>
          <w:szCs w:val="22"/>
        </w:rPr>
        <w:t xml:space="preserve">d), one directory-style wall sign. </w:t>
      </w:r>
    </w:p>
    <w:p w14:paraId="48BD8B26" w14:textId="77777777" w:rsidR="00680992" w:rsidRPr="00680992" w:rsidRDefault="00680992" w:rsidP="00680992">
      <w:pPr>
        <w:pStyle w:val="List3"/>
        <w:rPr>
          <w:rFonts w:asciiTheme="minorHAnsi" w:hAnsiTheme="minorHAnsi" w:cstheme="minorHAnsi"/>
          <w:b/>
          <w:szCs w:val="22"/>
        </w:rPr>
      </w:pPr>
      <w:r w:rsidRPr="00680992">
        <w:rPr>
          <w:rFonts w:asciiTheme="minorHAnsi" w:hAnsiTheme="minorHAnsi" w:cstheme="minorHAnsi"/>
          <w:b/>
          <w:szCs w:val="22"/>
        </w:rPr>
        <w:t>(iii)</w:t>
      </w:r>
      <w:r w:rsidRPr="00680992">
        <w:rPr>
          <w:rFonts w:asciiTheme="minorHAnsi" w:hAnsiTheme="minorHAnsi" w:cstheme="minorHAnsi"/>
          <w:b/>
          <w:szCs w:val="22"/>
        </w:rPr>
        <w:tab/>
        <w:t xml:space="preserve">Number of Sides. No more than one. </w:t>
      </w:r>
    </w:p>
    <w:p w14:paraId="2A9006AD" w14:textId="77777777" w:rsidR="00680992" w:rsidRPr="00680992" w:rsidRDefault="00680992" w:rsidP="00680992">
      <w:pPr>
        <w:pStyle w:val="List3"/>
        <w:rPr>
          <w:rFonts w:asciiTheme="minorHAnsi" w:hAnsiTheme="minorHAnsi" w:cstheme="minorHAnsi"/>
          <w:b/>
          <w:szCs w:val="22"/>
        </w:rPr>
      </w:pPr>
      <w:proofErr w:type="gramStart"/>
      <w:r w:rsidRPr="00680992">
        <w:rPr>
          <w:rFonts w:asciiTheme="minorHAnsi" w:hAnsiTheme="minorHAnsi" w:cstheme="minorHAnsi"/>
          <w:b/>
          <w:szCs w:val="22"/>
        </w:rPr>
        <w:t>(iv)</w:t>
      </w:r>
      <w:r w:rsidRPr="00680992">
        <w:rPr>
          <w:rFonts w:asciiTheme="minorHAnsi" w:hAnsiTheme="minorHAnsi" w:cstheme="minorHAnsi"/>
          <w:b/>
          <w:szCs w:val="22"/>
        </w:rPr>
        <w:tab/>
        <w:t>Height</w:t>
      </w:r>
      <w:proofErr w:type="gramEnd"/>
      <w:r w:rsidRPr="00680992">
        <w:rPr>
          <w:rFonts w:asciiTheme="minorHAnsi" w:hAnsiTheme="minorHAnsi" w:cstheme="minorHAnsi"/>
          <w:b/>
          <w:szCs w:val="22"/>
        </w:rPr>
        <w:t xml:space="preserve"> of Sign Face. Directory-style wall signs shall be no higher than eight feet. </w:t>
      </w:r>
    </w:p>
    <w:p w14:paraId="725CD477" w14:textId="77777777" w:rsidR="00680992" w:rsidRPr="00680992" w:rsidRDefault="00680992" w:rsidP="00680992">
      <w:pPr>
        <w:pStyle w:val="List3"/>
        <w:rPr>
          <w:rFonts w:asciiTheme="minorHAnsi" w:hAnsiTheme="minorHAnsi" w:cstheme="minorHAnsi"/>
          <w:b/>
          <w:szCs w:val="22"/>
        </w:rPr>
      </w:pPr>
      <w:r w:rsidRPr="00680992">
        <w:rPr>
          <w:rFonts w:asciiTheme="minorHAnsi" w:hAnsiTheme="minorHAnsi" w:cstheme="minorHAnsi"/>
          <w:b/>
          <w:szCs w:val="22"/>
        </w:rPr>
        <w:t>(v)</w:t>
      </w:r>
      <w:r w:rsidRPr="00680992">
        <w:rPr>
          <w:rFonts w:asciiTheme="minorHAnsi" w:hAnsiTheme="minorHAnsi" w:cstheme="minorHAnsi"/>
          <w:b/>
          <w:szCs w:val="22"/>
        </w:rPr>
        <w:tab/>
        <w:t xml:space="preserve">Width of Sign Face: Directory-style Wall signs shall not extend greater than 16 inches beyond the building wall. </w:t>
      </w:r>
    </w:p>
    <w:p w14:paraId="6E4FCD38" w14:textId="77777777" w:rsidR="00680992" w:rsidRPr="00680992" w:rsidRDefault="00680992" w:rsidP="00680992">
      <w:pPr>
        <w:pStyle w:val="List3"/>
        <w:rPr>
          <w:rFonts w:asciiTheme="minorHAnsi" w:hAnsiTheme="minorHAnsi" w:cstheme="minorHAnsi"/>
          <w:b/>
          <w:szCs w:val="22"/>
        </w:rPr>
      </w:pPr>
      <w:proofErr w:type="gramStart"/>
      <w:r w:rsidRPr="00680992">
        <w:rPr>
          <w:rFonts w:asciiTheme="minorHAnsi" w:hAnsiTheme="minorHAnsi" w:cstheme="minorHAnsi"/>
          <w:b/>
          <w:szCs w:val="22"/>
        </w:rPr>
        <w:t>(vi)</w:t>
      </w:r>
      <w:r w:rsidRPr="00680992">
        <w:rPr>
          <w:rFonts w:asciiTheme="minorHAnsi" w:hAnsiTheme="minorHAnsi" w:cstheme="minorHAnsi"/>
          <w:b/>
          <w:szCs w:val="22"/>
        </w:rPr>
        <w:tab/>
        <w:t>Sign</w:t>
      </w:r>
      <w:proofErr w:type="gramEnd"/>
      <w:r w:rsidRPr="00680992">
        <w:rPr>
          <w:rFonts w:asciiTheme="minorHAnsi" w:hAnsiTheme="minorHAnsi" w:cstheme="minorHAnsi"/>
          <w:b/>
          <w:szCs w:val="22"/>
        </w:rPr>
        <w:t xml:space="preserve"> Face Area: No more than 32 square feet. </w:t>
      </w:r>
    </w:p>
    <w:p w14:paraId="0680BE14" w14:textId="77777777" w:rsidR="00680992" w:rsidRPr="00680992" w:rsidRDefault="00680992" w:rsidP="00680992">
      <w:pPr>
        <w:pStyle w:val="List3"/>
        <w:rPr>
          <w:rFonts w:asciiTheme="minorHAnsi" w:hAnsiTheme="minorHAnsi" w:cstheme="minorHAnsi"/>
          <w:b/>
          <w:szCs w:val="22"/>
        </w:rPr>
      </w:pPr>
      <w:r w:rsidRPr="00680992">
        <w:rPr>
          <w:rFonts w:asciiTheme="minorHAnsi" w:hAnsiTheme="minorHAnsi" w:cstheme="minorHAnsi"/>
          <w:b/>
          <w:szCs w:val="22"/>
        </w:rPr>
        <w:t>(vii)</w:t>
      </w:r>
      <w:r w:rsidRPr="00680992">
        <w:rPr>
          <w:rFonts w:asciiTheme="minorHAnsi" w:hAnsiTheme="minorHAnsi" w:cstheme="minorHAnsi"/>
          <w:b/>
          <w:szCs w:val="22"/>
        </w:rPr>
        <w:tab/>
        <w:t xml:space="preserve">Illumination: Direct, indirect or internal. </w:t>
      </w:r>
    </w:p>
    <w:p w14:paraId="1408CBED" w14:textId="77777777" w:rsidR="00680992" w:rsidRPr="00680992" w:rsidRDefault="00680992" w:rsidP="00680992">
      <w:pPr>
        <w:pStyle w:val="List2"/>
        <w:rPr>
          <w:rFonts w:asciiTheme="minorHAnsi" w:hAnsiTheme="minorHAnsi" w:cstheme="minorHAnsi"/>
          <w:b/>
          <w:szCs w:val="22"/>
        </w:rPr>
      </w:pPr>
      <w:r w:rsidRPr="00680992">
        <w:rPr>
          <w:rFonts w:asciiTheme="minorHAnsi" w:hAnsiTheme="minorHAnsi" w:cstheme="minorHAnsi"/>
          <w:b/>
          <w:szCs w:val="22"/>
        </w:rPr>
        <w:lastRenderedPageBreak/>
        <w:t>(b)</w:t>
      </w:r>
      <w:r w:rsidRPr="00680992">
        <w:rPr>
          <w:rFonts w:asciiTheme="minorHAnsi" w:hAnsiTheme="minorHAnsi" w:cstheme="minorHAnsi"/>
          <w:b/>
          <w:szCs w:val="22"/>
        </w:rPr>
        <w:tab/>
      </w:r>
      <w:r w:rsidRPr="00680992">
        <w:rPr>
          <w:rFonts w:asciiTheme="minorHAnsi" w:hAnsiTheme="minorHAnsi" w:cstheme="minorHAnsi"/>
          <w:b/>
          <w:i/>
          <w:szCs w:val="22"/>
        </w:rPr>
        <w:t>Shingle or Blade Signs.</w:t>
      </w:r>
      <w:r w:rsidRPr="00680992">
        <w:rPr>
          <w:rFonts w:asciiTheme="minorHAnsi" w:hAnsiTheme="minorHAnsi" w:cstheme="minorHAnsi"/>
          <w:b/>
          <w:szCs w:val="22"/>
        </w:rPr>
        <w:t xml:space="preserve"> Except for walls that adjoin the Lake of the Commons, for each owned or leased space with ground floor frontage and in place of one wall sign or Directory-style wall sign, one shingle sign or blade sign may be erected. If used, the following standards apply: </w:t>
      </w:r>
    </w:p>
    <w:p w14:paraId="30840197" w14:textId="77777777" w:rsidR="00680992" w:rsidRPr="00680992" w:rsidRDefault="00680992" w:rsidP="00680992">
      <w:pPr>
        <w:pStyle w:val="List3"/>
        <w:rPr>
          <w:rFonts w:asciiTheme="minorHAnsi" w:hAnsiTheme="minorHAnsi" w:cstheme="minorHAnsi"/>
          <w:b/>
          <w:szCs w:val="22"/>
        </w:rPr>
      </w:pPr>
      <w:r w:rsidRPr="00680992">
        <w:rPr>
          <w:rFonts w:asciiTheme="minorHAnsi" w:hAnsiTheme="minorHAnsi" w:cstheme="minorHAnsi"/>
          <w:b/>
          <w:szCs w:val="22"/>
        </w:rPr>
        <w:t>(</w:t>
      </w:r>
      <w:proofErr w:type="spellStart"/>
      <w:r w:rsidRPr="00680992">
        <w:rPr>
          <w:rFonts w:asciiTheme="minorHAnsi" w:hAnsiTheme="minorHAnsi" w:cstheme="minorHAnsi"/>
          <w:b/>
          <w:szCs w:val="22"/>
        </w:rPr>
        <w:t>i</w:t>
      </w:r>
      <w:proofErr w:type="spellEnd"/>
      <w:r w:rsidRPr="00680992">
        <w:rPr>
          <w:rFonts w:asciiTheme="minorHAnsi" w:hAnsiTheme="minorHAnsi" w:cstheme="minorHAnsi"/>
          <w:b/>
          <w:szCs w:val="22"/>
        </w:rPr>
        <w:t>)</w:t>
      </w:r>
      <w:r w:rsidRPr="00680992">
        <w:rPr>
          <w:rFonts w:asciiTheme="minorHAnsi" w:hAnsiTheme="minorHAnsi" w:cstheme="minorHAnsi"/>
          <w:b/>
          <w:szCs w:val="22"/>
        </w:rPr>
        <w:tab/>
        <w:t xml:space="preserve">Location: Shingle signs and blade signs need not be placed within the tenant wall primary sign band, but shall be located on the tenant wall or wall appurtenances. Blade signs shall be attached to the wall of a building and shingle signs shall be attached to the underside of an awning, canopy, marquee or building overhang. </w:t>
      </w:r>
    </w:p>
    <w:p w14:paraId="533DC410" w14:textId="77777777" w:rsidR="00680992" w:rsidRPr="00680992" w:rsidRDefault="00680992" w:rsidP="00680992">
      <w:pPr>
        <w:pStyle w:val="List3"/>
        <w:rPr>
          <w:rFonts w:asciiTheme="minorHAnsi" w:hAnsiTheme="minorHAnsi" w:cstheme="minorHAnsi"/>
          <w:b/>
          <w:szCs w:val="22"/>
        </w:rPr>
      </w:pPr>
      <w:r w:rsidRPr="00680992">
        <w:rPr>
          <w:rFonts w:asciiTheme="minorHAnsi" w:hAnsiTheme="minorHAnsi" w:cstheme="minorHAnsi"/>
          <w:b/>
          <w:szCs w:val="22"/>
        </w:rPr>
        <w:t>(ii)</w:t>
      </w:r>
      <w:r w:rsidRPr="00680992">
        <w:rPr>
          <w:rFonts w:asciiTheme="minorHAnsi" w:hAnsiTheme="minorHAnsi" w:cstheme="minorHAnsi"/>
          <w:b/>
          <w:szCs w:val="22"/>
        </w:rPr>
        <w:tab/>
        <w:t>Number: In place of one wall sign allowed in TDC 38.220(1</w:t>
      </w:r>
      <w:proofErr w:type="gramStart"/>
      <w:r w:rsidRPr="00680992">
        <w:rPr>
          <w:rFonts w:asciiTheme="minorHAnsi" w:hAnsiTheme="minorHAnsi" w:cstheme="minorHAnsi"/>
          <w:b/>
          <w:szCs w:val="22"/>
        </w:rPr>
        <w:t>)(</w:t>
      </w:r>
      <w:proofErr w:type="gramEnd"/>
      <w:r w:rsidRPr="00680992">
        <w:rPr>
          <w:rFonts w:asciiTheme="minorHAnsi" w:hAnsiTheme="minorHAnsi" w:cstheme="minorHAnsi"/>
          <w:b/>
          <w:szCs w:val="22"/>
        </w:rPr>
        <w:t xml:space="preserve">d), one shingle sign or one blade sign. </w:t>
      </w:r>
    </w:p>
    <w:p w14:paraId="03977B39" w14:textId="77777777" w:rsidR="00680992" w:rsidRPr="00680992" w:rsidRDefault="00680992" w:rsidP="00680992">
      <w:pPr>
        <w:pStyle w:val="List3"/>
        <w:rPr>
          <w:rFonts w:asciiTheme="minorHAnsi" w:hAnsiTheme="minorHAnsi" w:cstheme="minorHAnsi"/>
          <w:b/>
          <w:szCs w:val="22"/>
        </w:rPr>
      </w:pPr>
      <w:r w:rsidRPr="00680992">
        <w:rPr>
          <w:rFonts w:asciiTheme="minorHAnsi" w:hAnsiTheme="minorHAnsi" w:cstheme="minorHAnsi"/>
          <w:b/>
          <w:szCs w:val="22"/>
        </w:rPr>
        <w:t>(iii)</w:t>
      </w:r>
      <w:r w:rsidRPr="00680992">
        <w:rPr>
          <w:rFonts w:asciiTheme="minorHAnsi" w:hAnsiTheme="minorHAnsi" w:cstheme="minorHAnsi"/>
          <w:b/>
          <w:szCs w:val="22"/>
        </w:rPr>
        <w:tab/>
        <w:t xml:space="preserve">Number of Sides: No more than two sides. </w:t>
      </w:r>
    </w:p>
    <w:p w14:paraId="655EF247" w14:textId="77777777" w:rsidR="00680992" w:rsidRPr="00680992" w:rsidRDefault="00680992" w:rsidP="00680992">
      <w:pPr>
        <w:pStyle w:val="List3"/>
        <w:rPr>
          <w:rFonts w:asciiTheme="minorHAnsi" w:hAnsiTheme="minorHAnsi" w:cstheme="minorHAnsi"/>
          <w:b/>
          <w:szCs w:val="22"/>
        </w:rPr>
      </w:pPr>
      <w:proofErr w:type="gramStart"/>
      <w:r w:rsidRPr="00680992">
        <w:rPr>
          <w:rFonts w:asciiTheme="minorHAnsi" w:hAnsiTheme="minorHAnsi" w:cstheme="minorHAnsi"/>
          <w:b/>
          <w:szCs w:val="22"/>
        </w:rPr>
        <w:t>(iv)</w:t>
      </w:r>
      <w:r w:rsidRPr="00680992">
        <w:rPr>
          <w:rFonts w:asciiTheme="minorHAnsi" w:hAnsiTheme="minorHAnsi" w:cstheme="minorHAnsi"/>
          <w:b/>
          <w:szCs w:val="22"/>
        </w:rPr>
        <w:tab/>
        <w:t>Height</w:t>
      </w:r>
      <w:proofErr w:type="gramEnd"/>
      <w:r w:rsidRPr="00680992">
        <w:rPr>
          <w:rFonts w:asciiTheme="minorHAnsi" w:hAnsiTheme="minorHAnsi" w:cstheme="minorHAnsi"/>
          <w:b/>
          <w:szCs w:val="22"/>
        </w:rPr>
        <w:t xml:space="preserve"> of Sign Face: Shingle signs shall be no higher than three feet. Blade signs shall be no higher than ten feet. </w:t>
      </w:r>
    </w:p>
    <w:p w14:paraId="06816CF5" w14:textId="77777777" w:rsidR="00680992" w:rsidRPr="00680992" w:rsidRDefault="00680992" w:rsidP="00680992">
      <w:pPr>
        <w:pStyle w:val="List3"/>
        <w:rPr>
          <w:rFonts w:asciiTheme="minorHAnsi" w:hAnsiTheme="minorHAnsi" w:cstheme="minorHAnsi"/>
          <w:b/>
          <w:szCs w:val="22"/>
        </w:rPr>
      </w:pPr>
      <w:r w:rsidRPr="00680992">
        <w:rPr>
          <w:rFonts w:asciiTheme="minorHAnsi" w:hAnsiTheme="minorHAnsi" w:cstheme="minorHAnsi"/>
          <w:b/>
          <w:szCs w:val="22"/>
        </w:rPr>
        <w:t>(v)</w:t>
      </w:r>
      <w:r w:rsidRPr="00680992">
        <w:rPr>
          <w:rFonts w:asciiTheme="minorHAnsi" w:hAnsiTheme="minorHAnsi" w:cstheme="minorHAnsi"/>
          <w:b/>
          <w:szCs w:val="22"/>
        </w:rPr>
        <w:tab/>
        <w:t xml:space="preserve">Width of Sign Face: Shingle signs attached to the underside of awning, canopy, marquee or building overhang shall not extend out beyond the outer edge of the element to which they are attached. Blade signs shall not extend greater than four feet beyond the building wall. </w:t>
      </w:r>
    </w:p>
    <w:p w14:paraId="2E3D9A58" w14:textId="77777777" w:rsidR="00680992" w:rsidRPr="00680992" w:rsidRDefault="00680992" w:rsidP="00680992">
      <w:pPr>
        <w:pStyle w:val="List3"/>
        <w:rPr>
          <w:rFonts w:asciiTheme="minorHAnsi" w:hAnsiTheme="minorHAnsi" w:cstheme="minorHAnsi"/>
          <w:b/>
          <w:szCs w:val="22"/>
        </w:rPr>
      </w:pPr>
      <w:proofErr w:type="gramStart"/>
      <w:r w:rsidRPr="00680992">
        <w:rPr>
          <w:rFonts w:asciiTheme="minorHAnsi" w:hAnsiTheme="minorHAnsi" w:cstheme="minorHAnsi"/>
          <w:b/>
          <w:szCs w:val="22"/>
        </w:rPr>
        <w:t>(vi)</w:t>
      </w:r>
      <w:r w:rsidRPr="00680992">
        <w:rPr>
          <w:rFonts w:asciiTheme="minorHAnsi" w:hAnsiTheme="minorHAnsi" w:cstheme="minorHAnsi"/>
          <w:b/>
          <w:szCs w:val="22"/>
        </w:rPr>
        <w:tab/>
        <w:t>Sign</w:t>
      </w:r>
      <w:proofErr w:type="gramEnd"/>
      <w:r w:rsidRPr="00680992">
        <w:rPr>
          <w:rFonts w:asciiTheme="minorHAnsi" w:hAnsiTheme="minorHAnsi" w:cstheme="minorHAnsi"/>
          <w:b/>
          <w:szCs w:val="22"/>
        </w:rPr>
        <w:t xml:space="preserve"> Face Area: No more than 24 square feet. </w:t>
      </w:r>
    </w:p>
    <w:p w14:paraId="0C56E34F" w14:textId="77777777" w:rsidR="00680992" w:rsidRPr="00680992" w:rsidRDefault="00680992" w:rsidP="00680992">
      <w:pPr>
        <w:pStyle w:val="List3"/>
        <w:rPr>
          <w:rFonts w:asciiTheme="minorHAnsi" w:hAnsiTheme="minorHAnsi" w:cstheme="minorHAnsi"/>
          <w:b/>
          <w:szCs w:val="22"/>
        </w:rPr>
      </w:pPr>
      <w:r w:rsidRPr="00680992">
        <w:rPr>
          <w:rFonts w:asciiTheme="minorHAnsi" w:hAnsiTheme="minorHAnsi" w:cstheme="minorHAnsi"/>
          <w:b/>
          <w:szCs w:val="22"/>
        </w:rPr>
        <w:t>(vii)</w:t>
      </w:r>
      <w:r w:rsidRPr="00680992">
        <w:rPr>
          <w:rFonts w:asciiTheme="minorHAnsi" w:hAnsiTheme="minorHAnsi" w:cstheme="minorHAnsi"/>
          <w:b/>
          <w:szCs w:val="22"/>
        </w:rPr>
        <w:tab/>
        <w:t xml:space="preserve">Height of Sign. The distance from the sidewalk or grade up to the bottom of the sign shall be at least eight feet. </w:t>
      </w:r>
    </w:p>
    <w:p w14:paraId="7C5B1028" w14:textId="77777777" w:rsidR="00680992" w:rsidRPr="00680992" w:rsidRDefault="00680992" w:rsidP="00680992">
      <w:pPr>
        <w:pStyle w:val="List3"/>
        <w:rPr>
          <w:rFonts w:asciiTheme="minorHAnsi" w:hAnsiTheme="minorHAnsi" w:cstheme="minorHAnsi"/>
          <w:b/>
          <w:szCs w:val="22"/>
        </w:rPr>
      </w:pPr>
      <w:r w:rsidRPr="00680992">
        <w:rPr>
          <w:rFonts w:asciiTheme="minorHAnsi" w:hAnsiTheme="minorHAnsi" w:cstheme="minorHAnsi"/>
          <w:b/>
          <w:szCs w:val="22"/>
        </w:rPr>
        <w:t>(viii)</w:t>
      </w:r>
      <w:r w:rsidRPr="00680992">
        <w:rPr>
          <w:rFonts w:asciiTheme="minorHAnsi" w:hAnsiTheme="minorHAnsi" w:cstheme="minorHAnsi"/>
          <w:b/>
          <w:szCs w:val="22"/>
        </w:rPr>
        <w:tab/>
        <w:t xml:space="preserve">Illumination: Direct, indirect or internal. </w:t>
      </w:r>
    </w:p>
    <w:p w14:paraId="4C87D327" w14:textId="77777777" w:rsidR="00680992" w:rsidRPr="00680992" w:rsidRDefault="00680992" w:rsidP="00680992">
      <w:pPr>
        <w:pStyle w:val="List3"/>
        <w:rPr>
          <w:rFonts w:asciiTheme="minorHAnsi" w:hAnsiTheme="minorHAnsi" w:cstheme="minorHAnsi"/>
          <w:b/>
          <w:szCs w:val="22"/>
        </w:rPr>
      </w:pPr>
      <w:r w:rsidRPr="00680992">
        <w:rPr>
          <w:rFonts w:asciiTheme="minorHAnsi" w:hAnsiTheme="minorHAnsi" w:cstheme="minorHAnsi"/>
          <w:b/>
          <w:szCs w:val="22"/>
        </w:rPr>
        <w:t>(ix)</w:t>
      </w:r>
      <w:r w:rsidRPr="00680992">
        <w:rPr>
          <w:rFonts w:asciiTheme="minorHAnsi" w:hAnsiTheme="minorHAnsi" w:cstheme="minorHAnsi"/>
          <w:b/>
          <w:szCs w:val="22"/>
        </w:rPr>
        <w:tab/>
        <w:t xml:space="preserve">Blade and shingle signs shall be constructed with three-dimensional letters, numbers and graphic elements. </w:t>
      </w:r>
    </w:p>
    <w:p w14:paraId="11BC6C7E" w14:textId="77777777" w:rsidR="00680992" w:rsidRPr="00680992" w:rsidRDefault="00680992" w:rsidP="00680992">
      <w:pPr>
        <w:pStyle w:val="List2"/>
        <w:rPr>
          <w:rFonts w:asciiTheme="minorHAnsi" w:hAnsiTheme="minorHAnsi" w:cstheme="minorHAnsi"/>
          <w:b/>
          <w:szCs w:val="22"/>
        </w:rPr>
      </w:pPr>
      <w:r w:rsidRPr="00680992">
        <w:rPr>
          <w:rFonts w:asciiTheme="minorHAnsi" w:hAnsiTheme="minorHAnsi" w:cstheme="minorHAnsi"/>
          <w:b/>
          <w:szCs w:val="22"/>
        </w:rPr>
        <w:t>(c)</w:t>
      </w:r>
      <w:r w:rsidRPr="00680992">
        <w:rPr>
          <w:rFonts w:asciiTheme="minorHAnsi" w:hAnsiTheme="minorHAnsi" w:cstheme="minorHAnsi"/>
          <w:b/>
          <w:szCs w:val="22"/>
        </w:rPr>
        <w:tab/>
      </w:r>
      <w:r w:rsidRPr="00680992">
        <w:rPr>
          <w:rFonts w:asciiTheme="minorHAnsi" w:hAnsiTheme="minorHAnsi" w:cstheme="minorHAnsi"/>
          <w:b/>
          <w:i/>
          <w:szCs w:val="22"/>
        </w:rPr>
        <w:t>2nd Floor Tenant Wall Signs are permitted.</w:t>
      </w:r>
      <w:r w:rsidRPr="00680992">
        <w:rPr>
          <w:rFonts w:asciiTheme="minorHAnsi" w:hAnsiTheme="minorHAnsi" w:cstheme="minorHAnsi"/>
          <w:b/>
          <w:szCs w:val="22"/>
        </w:rPr>
        <w:t xml:space="preserve"> If used, the following standards apply: </w:t>
      </w:r>
    </w:p>
    <w:p w14:paraId="049AD1C7" w14:textId="77777777" w:rsidR="00680992" w:rsidRPr="00680992" w:rsidRDefault="00680992" w:rsidP="00680992">
      <w:pPr>
        <w:pStyle w:val="List3"/>
        <w:rPr>
          <w:rFonts w:asciiTheme="minorHAnsi" w:hAnsiTheme="minorHAnsi" w:cstheme="minorHAnsi"/>
          <w:b/>
          <w:szCs w:val="22"/>
        </w:rPr>
      </w:pPr>
      <w:r w:rsidRPr="00680992">
        <w:rPr>
          <w:rFonts w:asciiTheme="minorHAnsi" w:hAnsiTheme="minorHAnsi" w:cstheme="minorHAnsi"/>
          <w:b/>
          <w:szCs w:val="22"/>
        </w:rPr>
        <w:t>(</w:t>
      </w:r>
      <w:proofErr w:type="spellStart"/>
      <w:r w:rsidRPr="00680992">
        <w:rPr>
          <w:rFonts w:asciiTheme="minorHAnsi" w:hAnsiTheme="minorHAnsi" w:cstheme="minorHAnsi"/>
          <w:b/>
          <w:szCs w:val="22"/>
        </w:rPr>
        <w:t>i</w:t>
      </w:r>
      <w:proofErr w:type="spellEnd"/>
      <w:r w:rsidRPr="00680992">
        <w:rPr>
          <w:rFonts w:asciiTheme="minorHAnsi" w:hAnsiTheme="minorHAnsi" w:cstheme="minorHAnsi"/>
          <w:b/>
          <w:szCs w:val="22"/>
        </w:rPr>
        <w:t>)</w:t>
      </w:r>
      <w:r w:rsidRPr="00680992">
        <w:rPr>
          <w:rFonts w:asciiTheme="minorHAnsi" w:hAnsiTheme="minorHAnsi" w:cstheme="minorHAnsi"/>
          <w:b/>
          <w:szCs w:val="22"/>
        </w:rPr>
        <w:tab/>
        <w:t xml:space="preserve">Number: On a 2-story or more building, one per floor above the first floor with a maximum of two per building wall provided the signs are separated by a minimum of 25 feet </w:t>
      </w:r>
      <w:proofErr w:type="gramStart"/>
      <w:r w:rsidRPr="00680992">
        <w:rPr>
          <w:rFonts w:asciiTheme="minorHAnsi" w:hAnsiTheme="minorHAnsi" w:cstheme="minorHAnsi"/>
          <w:b/>
          <w:szCs w:val="22"/>
        </w:rPr>
        <w:t>The</w:t>
      </w:r>
      <w:proofErr w:type="gramEnd"/>
      <w:r w:rsidRPr="00680992">
        <w:rPr>
          <w:rFonts w:asciiTheme="minorHAnsi" w:hAnsiTheme="minorHAnsi" w:cstheme="minorHAnsi"/>
          <w:b/>
          <w:szCs w:val="22"/>
        </w:rPr>
        <w:t xml:space="preserve"> maximum number of 2nd Floor Tenant Wall signs is four on the building. </w:t>
      </w:r>
    </w:p>
    <w:p w14:paraId="426E7504" w14:textId="77777777" w:rsidR="00680992" w:rsidRPr="00680992" w:rsidRDefault="00680992" w:rsidP="00680992">
      <w:pPr>
        <w:pStyle w:val="List3"/>
        <w:rPr>
          <w:rFonts w:asciiTheme="minorHAnsi" w:hAnsiTheme="minorHAnsi" w:cstheme="minorHAnsi"/>
          <w:b/>
          <w:szCs w:val="22"/>
        </w:rPr>
      </w:pPr>
      <w:r w:rsidRPr="00680992">
        <w:rPr>
          <w:rFonts w:asciiTheme="minorHAnsi" w:hAnsiTheme="minorHAnsi" w:cstheme="minorHAnsi"/>
          <w:b/>
          <w:szCs w:val="22"/>
        </w:rPr>
        <w:t>(ii)</w:t>
      </w:r>
      <w:r w:rsidRPr="00680992">
        <w:rPr>
          <w:rFonts w:asciiTheme="minorHAnsi" w:hAnsiTheme="minorHAnsi" w:cstheme="minorHAnsi"/>
          <w:b/>
          <w:szCs w:val="22"/>
        </w:rPr>
        <w:tab/>
        <w:t xml:space="preserve">Number of Sides: No more than one. </w:t>
      </w:r>
    </w:p>
    <w:p w14:paraId="228BFD5C" w14:textId="77777777" w:rsidR="00680992" w:rsidRPr="00680992" w:rsidRDefault="00680992" w:rsidP="00680992">
      <w:pPr>
        <w:pStyle w:val="List3"/>
        <w:rPr>
          <w:rFonts w:asciiTheme="minorHAnsi" w:hAnsiTheme="minorHAnsi" w:cstheme="minorHAnsi"/>
          <w:b/>
          <w:szCs w:val="22"/>
        </w:rPr>
      </w:pPr>
      <w:r w:rsidRPr="00680992">
        <w:rPr>
          <w:rFonts w:asciiTheme="minorHAnsi" w:hAnsiTheme="minorHAnsi" w:cstheme="minorHAnsi"/>
          <w:b/>
          <w:szCs w:val="22"/>
        </w:rPr>
        <w:t>(iii)</w:t>
      </w:r>
      <w:r w:rsidRPr="00680992">
        <w:rPr>
          <w:rFonts w:asciiTheme="minorHAnsi" w:hAnsiTheme="minorHAnsi" w:cstheme="minorHAnsi"/>
          <w:b/>
          <w:szCs w:val="22"/>
        </w:rPr>
        <w:tab/>
        <w:t xml:space="preserve">Height of Sign Face: No higher than three feet provided that no letter or number is higher than two feet. Logos, including logos composed of letters or numbers, may be up to three feet in height. </w:t>
      </w:r>
    </w:p>
    <w:p w14:paraId="6F838344" w14:textId="77777777" w:rsidR="00680992" w:rsidRPr="00680992" w:rsidRDefault="00680992" w:rsidP="00680992">
      <w:pPr>
        <w:pStyle w:val="List3"/>
        <w:rPr>
          <w:rFonts w:asciiTheme="minorHAnsi" w:hAnsiTheme="minorHAnsi" w:cstheme="minorHAnsi"/>
          <w:b/>
          <w:szCs w:val="22"/>
        </w:rPr>
      </w:pPr>
      <w:proofErr w:type="gramStart"/>
      <w:r w:rsidRPr="00680992">
        <w:rPr>
          <w:rFonts w:asciiTheme="minorHAnsi" w:hAnsiTheme="minorHAnsi" w:cstheme="minorHAnsi"/>
          <w:b/>
          <w:szCs w:val="22"/>
        </w:rPr>
        <w:t>(iv)</w:t>
      </w:r>
      <w:r w:rsidRPr="00680992">
        <w:rPr>
          <w:rFonts w:asciiTheme="minorHAnsi" w:hAnsiTheme="minorHAnsi" w:cstheme="minorHAnsi"/>
          <w:b/>
          <w:szCs w:val="22"/>
        </w:rPr>
        <w:tab/>
        <w:t>Area</w:t>
      </w:r>
      <w:proofErr w:type="gramEnd"/>
      <w:r w:rsidRPr="00680992">
        <w:rPr>
          <w:rFonts w:asciiTheme="minorHAnsi" w:hAnsiTheme="minorHAnsi" w:cstheme="minorHAnsi"/>
          <w:b/>
          <w:szCs w:val="22"/>
        </w:rPr>
        <w:t xml:space="preserve">: No more than 40 square feet. </w:t>
      </w:r>
    </w:p>
    <w:p w14:paraId="234FC788" w14:textId="77777777" w:rsidR="00680992" w:rsidRPr="00680992" w:rsidRDefault="00680992" w:rsidP="00680992">
      <w:pPr>
        <w:pStyle w:val="List3"/>
        <w:rPr>
          <w:rFonts w:asciiTheme="minorHAnsi" w:hAnsiTheme="minorHAnsi" w:cstheme="minorHAnsi"/>
          <w:b/>
          <w:szCs w:val="22"/>
        </w:rPr>
      </w:pPr>
      <w:r w:rsidRPr="00680992">
        <w:rPr>
          <w:rFonts w:asciiTheme="minorHAnsi" w:hAnsiTheme="minorHAnsi" w:cstheme="minorHAnsi"/>
          <w:b/>
          <w:szCs w:val="22"/>
        </w:rPr>
        <w:t>(v)</w:t>
      </w:r>
      <w:r w:rsidRPr="00680992">
        <w:rPr>
          <w:rFonts w:asciiTheme="minorHAnsi" w:hAnsiTheme="minorHAnsi" w:cstheme="minorHAnsi"/>
          <w:b/>
          <w:szCs w:val="22"/>
        </w:rPr>
        <w:tab/>
        <w:t xml:space="preserve">Illumination: Direct, indirect or halo. </w:t>
      </w:r>
    </w:p>
    <w:p w14:paraId="46A681C0" w14:textId="77777777" w:rsidR="00680992" w:rsidRPr="00680992" w:rsidRDefault="00680992" w:rsidP="00680992">
      <w:pPr>
        <w:pStyle w:val="List3"/>
        <w:rPr>
          <w:rFonts w:asciiTheme="minorHAnsi" w:hAnsiTheme="minorHAnsi" w:cstheme="minorHAnsi"/>
          <w:b/>
          <w:szCs w:val="22"/>
        </w:rPr>
      </w:pPr>
      <w:proofErr w:type="gramStart"/>
      <w:r w:rsidRPr="00680992">
        <w:rPr>
          <w:rFonts w:asciiTheme="minorHAnsi" w:hAnsiTheme="minorHAnsi" w:cstheme="minorHAnsi"/>
          <w:b/>
          <w:szCs w:val="22"/>
        </w:rPr>
        <w:t>(vi)</w:t>
      </w:r>
      <w:r w:rsidRPr="00680992">
        <w:rPr>
          <w:rFonts w:asciiTheme="minorHAnsi" w:hAnsiTheme="minorHAnsi" w:cstheme="minorHAnsi"/>
          <w:b/>
          <w:szCs w:val="22"/>
        </w:rPr>
        <w:tab/>
        <w:t>Location</w:t>
      </w:r>
      <w:proofErr w:type="gramEnd"/>
      <w:r w:rsidRPr="00680992">
        <w:rPr>
          <w:rFonts w:asciiTheme="minorHAnsi" w:hAnsiTheme="minorHAnsi" w:cstheme="minorHAnsi"/>
          <w:b/>
          <w:szCs w:val="22"/>
        </w:rPr>
        <w:t xml:space="preserve">: On the building wall of the building's 2nd Floor or above. </w:t>
      </w:r>
    </w:p>
    <w:p w14:paraId="7CCC7851" w14:textId="77777777" w:rsidR="00680992" w:rsidRPr="00680992" w:rsidRDefault="00680992" w:rsidP="00680992">
      <w:pPr>
        <w:pStyle w:val="List3"/>
        <w:rPr>
          <w:rFonts w:asciiTheme="minorHAnsi" w:hAnsiTheme="minorHAnsi" w:cstheme="minorHAnsi"/>
          <w:b/>
          <w:szCs w:val="22"/>
        </w:rPr>
      </w:pPr>
      <w:r w:rsidRPr="00680992">
        <w:rPr>
          <w:rFonts w:asciiTheme="minorHAnsi" w:hAnsiTheme="minorHAnsi" w:cstheme="minorHAnsi"/>
          <w:b/>
          <w:szCs w:val="22"/>
        </w:rPr>
        <w:t>(vii)</w:t>
      </w:r>
      <w:r w:rsidRPr="00680992">
        <w:rPr>
          <w:rFonts w:asciiTheme="minorHAnsi" w:hAnsiTheme="minorHAnsi" w:cstheme="minorHAnsi"/>
          <w:b/>
          <w:szCs w:val="22"/>
        </w:rPr>
        <w:tab/>
        <w:t xml:space="preserve">An internally illuminated cabinet sign is not allowed. </w:t>
      </w:r>
    </w:p>
    <w:p w14:paraId="4B30A5E6" w14:textId="77777777" w:rsidR="00680992" w:rsidRPr="00680992" w:rsidRDefault="00680992" w:rsidP="00680992">
      <w:pPr>
        <w:pStyle w:val="List2"/>
        <w:rPr>
          <w:rFonts w:asciiTheme="minorHAnsi" w:hAnsiTheme="minorHAnsi" w:cstheme="minorHAnsi"/>
          <w:b/>
          <w:szCs w:val="22"/>
        </w:rPr>
      </w:pPr>
      <w:r w:rsidRPr="00680992">
        <w:rPr>
          <w:rFonts w:asciiTheme="minorHAnsi" w:hAnsiTheme="minorHAnsi" w:cstheme="minorHAnsi"/>
          <w:b/>
          <w:szCs w:val="22"/>
        </w:rPr>
        <w:t>(d)</w:t>
      </w:r>
      <w:r w:rsidRPr="00680992">
        <w:rPr>
          <w:rFonts w:asciiTheme="minorHAnsi" w:hAnsiTheme="minorHAnsi" w:cstheme="minorHAnsi"/>
          <w:b/>
          <w:szCs w:val="22"/>
        </w:rPr>
        <w:tab/>
      </w:r>
      <w:r w:rsidRPr="00680992">
        <w:rPr>
          <w:rFonts w:asciiTheme="minorHAnsi" w:hAnsiTheme="minorHAnsi" w:cstheme="minorHAnsi"/>
          <w:b/>
          <w:i/>
          <w:szCs w:val="22"/>
        </w:rPr>
        <w:t>Canopy-mounted Building Identification Signs are permitted.</w:t>
      </w:r>
      <w:r w:rsidRPr="00680992">
        <w:rPr>
          <w:rFonts w:asciiTheme="minorHAnsi" w:hAnsiTheme="minorHAnsi" w:cstheme="minorHAnsi"/>
          <w:b/>
          <w:szCs w:val="22"/>
        </w:rPr>
        <w:t xml:space="preserve"> If used, the following standards apply: </w:t>
      </w:r>
    </w:p>
    <w:p w14:paraId="245946BE" w14:textId="77777777" w:rsidR="00680992" w:rsidRPr="00680992" w:rsidRDefault="00680992" w:rsidP="00680992">
      <w:pPr>
        <w:pStyle w:val="List3"/>
        <w:rPr>
          <w:rFonts w:asciiTheme="minorHAnsi" w:hAnsiTheme="minorHAnsi" w:cstheme="minorHAnsi"/>
          <w:b/>
          <w:szCs w:val="22"/>
        </w:rPr>
      </w:pPr>
      <w:r w:rsidRPr="00680992">
        <w:rPr>
          <w:rFonts w:asciiTheme="minorHAnsi" w:hAnsiTheme="minorHAnsi" w:cstheme="minorHAnsi"/>
          <w:b/>
          <w:szCs w:val="22"/>
        </w:rPr>
        <w:t>(</w:t>
      </w:r>
      <w:proofErr w:type="spellStart"/>
      <w:r w:rsidRPr="00680992">
        <w:rPr>
          <w:rFonts w:asciiTheme="minorHAnsi" w:hAnsiTheme="minorHAnsi" w:cstheme="minorHAnsi"/>
          <w:b/>
          <w:szCs w:val="22"/>
        </w:rPr>
        <w:t>i</w:t>
      </w:r>
      <w:proofErr w:type="spellEnd"/>
      <w:r w:rsidRPr="00680992">
        <w:rPr>
          <w:rFonts w:asciiTheme="minorHAnsi" w:hAnsiTheme="minorHAnsi" w:cstheme="minorHAnsi"/>
          <w:b/>
          <w:szCs w:val="22"/>
        </w:rPr>
        <w:t>)</w:t>
      </w:r>
      <w:r w:rsidRPr="00680992">
        <w:rPr>
          <w:rFonts w:asciiTheme="minorHAnsi" w:hAnsiTheme="minorHAnsi" w:cstheme="minorHAnsi"/>
          <w:b/>
          <w:szCs w:val="22"/>
        </w:rPr>
        <w:tab/>
        <w:t xml:space="preserve">Number: One per primary entrance of a 2-story or more building, with a maximum of two on the building when separated by two elevations or a minimum of 50 feet distance measured on the building wall surfaces. </w:t>
      </w:r>
    </w:p>
    <w:p w14:paraId="0FFBA6DE" w14:textId="77777777" w:rsidR="00680992" w:rsidRPr="00680992" w:rsidRDefault="00680992" w:rsidP="00680992">
      <w:pPr>
        <w:pStyle w:val="List3"/>
        <w:rPr>
          <w:rFonts w:asciiTheme="minorHAnsi" w:hAnsiTheme="minorHAnsi" w:cstheme="minorHAnsi"/>
          <w:b/>
          <w:szCs w:val="22"/>
        </w:rPr>
      </w:pPr>
      <w:r w:rsidRPr="00680992">
        <w:rPr>
          <w:rFonts w:asciiTheme="minorHAnsi" w:hAnsiTheme="minorHAnsi" w:cstheme="minorHAnsi"/>
          <w:b/>
          <w:szCs w:val="22"/>
        </w:rPr>
        <w:t>(ii)</w:t>
      </w:r>
      <w:r w:rsidRPr="00680992">
        <w:rPr>
          <w:rFonts w:asciiTheme="minorHAnsi" w:hAnsiTheme="minorHAnsi" w:cstheme="minorHAnsi"/>
          <w:b/>
          <w:szCs w:val="22"/>
        </w:rPr>
        <w:tab/>
        <w:t xml:space="preserve">Number of sides: No more than one. </w:t>
      </w:r>
    </w:p>
    <w:p w14:paraId="443D3CD5" w14:textId="77777777" w:rsidR="00680992" w:rsidRPr="00680992" w:rsidRDefault="00680992" w:rsidP="00680992">
      <w:pPr>
        <w:pStyle w:val="List3"/>
        <w:rPr>
          <w:rFonts w:asciiTheme="minorHAnsi" w:hAnsiTheme="minorHAnsi" w:cstheme="minorHAnsi"/>
          <w:b/>
          <w:szCs w:val="22"/>
        </w:rPr>
      </w:pPr>
      <w:r w:rsidRPr="00680992">
        <w:rPr>
          <w:rFonts w:asciiTheme="minorHAnsi" w:hAnsiTheme="minorHAnsi" w:cstheme="minorHAnsi"/>
          <w:b/>
          <w:szCs w:val="22"/>
        </w:rPr>
        <w:t>(iii)</w:t>
      </w:r>
      <w:r w:rsidRPr="00680992">
        <w:rPr>
          <w:rFonts w:asciiTheme="minorHAnsi" w:hAnsiTheme="minorHAnsi" w:cstheme="minorHAnsi"/>
          <w:b/>
          <w:szCs w:val="22"/>
        </w:rPr>
        <w:tab/>
        <w:t xml:space="preserve">Height of Sign Face: No higher than the height of the canopy fascia. For a canopy with signage on top of the fascia, the area to be used in calculating the 35 percent is the allowed height of the sign, 16 inches, multiplied by the length of the front and sides of the canopy fascia. </w:t>
      </w:r>
    </w:p>
    <w:p w14:paraId="7C539B54" w14:textId="77777777" w:rsidR="00680992" w:rsidRPr="00680992" w:rsidRDefault="00680992" w:rsidP="00680992">
      <w:pPr>
        <w:pStyle w:val="List3"/>
        <w:rPr>
          <w:rFonts w:asciiTheme="minorHAnsi" w:hAnsiTheme="minorHAnsi" w:cstheme="minorHAnsi"/>
          <w:b/>
          <w:szCs w:val="22"/>
        </w:rPr>
      </w:pPr>
      <w:proofErr w:type="gramStart"/>
      <w:r w:rsidRPr="00680992">
        <w:rPr>
          <w:rFonts w:asciiTheme="minorHAnsi" w:hAnsiTheme="minorHAnsi" w:cstheme="minorHAnsi"/>
          <w:b/>
          <w:szCs w:val="22"/>
        </w:rPr>
        <w:t>(iv)</w:t>
      </w:r>
      <w:r w:rsidRPr="00680992">
        <w:rPr>
          <w:rFonts w:asciiTheme="minorHAnsi" w:hAnsiTheme="minorHAnsi" w:cstheme="minorHAnsi"/>
          <w:b/>
          <w:szCs w:val="22"/>
        </w:rPr>
        <w:tab/>
        <w:t>Area</w:t>
      </w:r>
      <w:proofErr w:type="gramEnd"/>
      <w:r w:rsidRPr="00680992">
        <w:rPr>
          <w:rFonts w:asciiTheme="minorHAnsi" w:hAnsiTheme="minorHAnsi" w:cstheme="minorHAnsi"/>
          <w:b/>
          <w:szCs w:val="22"/>
        </w:rPr>
        <w:t xml:space="preserve">: No more than 35 percent of the area of a canopy fascia provided the total canopy signage is no more than 24 square feet. For a canopy with signage on top of the fascia, the </w:t>
      </w:r>
      <w:r w:rsidRPr="00680992">
        <w:rPr>
          <w:rFonts w:asciiTheme="minorHAnsi" w:hAnsiTheme="minorHAnsi" w:cstheme="minorHAnsi"/>
          <w:b/>
          <w:szCs w:val="22"/>
        </w:rPr>
        <w:lastRenderedPageBreak/>
        <w:t xml:space="preserve">area to be used in calculating the 35 percent is the allowed height of the sign, 16 inches, multiplied by the length of the front and sides of the canopy fascia. </w:t>
      </w:r>
    </w:p>
    <w:p w14:paraId="2E7AF18F" w14:textId="77777777" w:rsidR="00680992" w:rsidRPr="00680992" w:rsidRDefault="00680992" w:rsidP="00680992">
      <w:pPr>
        <w:pStyle w:val="List3"/>
        <w:rPr>
          <w:rFonts w:asciiTheme="minorHAnsi" w:hAnsiTheme="minorHAnsi" w:cstheme="minorHAnsi"/>
          <w:b/>
          <w:szCs w:val="22"/>
        </w:rPr>
      </w:pPr>
      <w:r w:rsidRPr="00680992">
        <w:rPr>
          <w:rFonts w:asciiTheme="minorHAnsi" w:hAnsiTheme="minorHAnsi" w:cstheme="minorHAnsi"/>
          <w:b/>
          <w:szCs w:val="22"/>
        </w:rPr>
        <w:t>(v)</w:t>
      </w:r>
      <w:r w:rsidRPr="00680992">
        <w:rPr>
          <w:rFonts w:asciiTheme="minorHAnsi" w:hAnsiTheme="minorHAnsi" w:cstheme="minorHAnsi"/>
          <w:b/>
          <w:szCs w:val="22"/>
        </w:rPr>
        <w:tab/>
        <w:t xml:space="preserve">Illumination: Direct, indirect, or halo. </w:t>
      </w:r>
    </w:p>
    <w:p w14:paraId="3D91C128" w14:textId="77777777" w:rsidR="00680992" w:rsidRPr="00680992" w:rsidRDefault="00680992" w:rsidP="00680992">
      <w:pPr>
        <w:pStyle w:val="List3"/>
        <w:rPr>
          <w:rFonts w:asciiTheme="minorHAnsi" w:hAnsiTheme="minorHAnsi" w:cstheme="minorHAnsi"/>
          <w:b/>
          <w:szCs w:val="22"/>
        </w:rPr>
      </w:pPr>
      <w:proofErr w:type="gramStart"/>
      <w:r w:rsidRPr="00680992">
        <w:rPr>
          <w:rFonts w:asciiTheme="minorHAnsi" w:hAnsiTheme="minorHAnsi" w:cstheme="minorHAnsi"/>
          <w:b/>
          <w:szCs w:val="22"/>
        </w:rPr>
        <w:t>(vi)</w:t>
      </w:r>
      <w:r w:rsidRPr="00680992">
        <w:rPr>
          <w:rFonts w:asciiTheme="minorHAnsi" w:hAnsiTheme="minorHAnsi" w:cstheme="minorHAnsi"/>
          <w:b/>
          <w:szCs w:val="22"/>
        </w:rPr>
        <w:tab/>
        <w:t>Location</w:t>
      </w:r>
      <w:proofErr w:type="gramEnd"/>
      <w:r w:rsidRPr="00680992">
        <w:rPr>
          <w:rFonts w:asciiTheme="minorHAnsi" w:hAnsiTheme="minorHAnsi" w:cstheme="minorHAnsi"/>
          <w:b/>
          <w:szCs w:val="22"/>
        </w:rPr>
        <w:t xml:space="preserve">: The signage shall be on the wall above the primary entrance, on the primary entrance canopy fascia or on top of the canopy fascia. </w:t>
      </w:r>
    </w:p>
    <w:p w14:paraId="1BABFCF1" w14:textId="77777777" w:rsidR="00680992" w:rsidRPr="00680992" w:rsidRDefault="00680992" w:rsidP="00680992">
      <w:pPr>
        <w:pStyle w:val="List3"/>
        <w:rPr>
          <w:rFonts w:asciiTheme="minorHAnsi" w:hAnsiTheme="minorHAnsi" w:cstheme="minorHAnsi"/>
          <w:b/>
          <w:szCs w:val="22"/>
        </w:rPr>
      </w:pPr>
      <w:r w:rsidRPr="00680992">
        <w:rPr>
          <w:rFonts w:asciiTheme="minorHAnsi" w:hAnsiTheme="minorHAnsi" w:cstheme="minorHAnsi"/>
          <w:b/>
          <w:szCs w:val="22"/>
        </w:rPr>
        <w:t>(vii)</w:t>
      </w:r>
      <w:r w:rsidRPr="00680992">
        <w:rPr>
          <w:rFonts w:asciiTheme="minorHAnsi" w:hAnsiTheme="minorHAnsi" w:cstheme="minorHAnsi"/>
          <w:b/>
          <w:szCs w:val="22"/>
        </w:rPr>
        <w:tab/>
        <w:t xml:space="preserve">Signage located on top of a canopy or as a marquee shall not be an internally-illuminated cabinet sign. </w:t>
      </w:r>
    </w:p>
    <w:p w14:paraId="3013621F" w14:textId="77777777" w:rsidR="00680992" w:rsidRPr="00680992" w:rsidRDefault="00680992" w:rsidP="00680992">
      <w:pPr>
        <w:pStyle w:val="List2"/>
        <w:rPr>
          <w:rFonts w:asciiTheme="minorHAnsi" w:hAnsiTheme="minorHAnsi" w:cstheme="minorHAnsi"/>
          <w:b/>
          <w:szCs w:val="22"/>
        </w:rPr>
      </w:pPr>
      <w:r w:rsidRPr="00680992">
        <w:rPr>
          <w:rFonts w:asciiTheme="minorHAnsi" w:hAnsiTheme="minorHAnsi" w:cstheme="minorHAnsi"/>
          <w:b/>
          <w:szCs w:val="22"/>
        </w:rPr>
        <w:t>(e)</w:t>
      </w:r>
      <w:r w:rsidRPr="00680992">
        <w:rPr>
          <w:rFonts w:asciiTheme="minorHAnsi" w:hAnsiTheme="minorHAnsi" w:cstheme="minorHAnsi"/>
          <w:b/>
          <w:szCs w:val="22"/>
        </w:rPr>
        <w:tab/>
      </w:r>
      <w:r w:rsidRPr="00680992">
        <w:rPr>
          <w:rFonts w:asciiTheme="minorHAnsi" w:hAnsiTheme="minorHAnsi" w:cstheme="minorHAnsi"/>
          <w:b/>
          <w:i/>
          <w:szCs w:val="22"/>
        </w:rPr>
        <w:t>Small Projecting Signs (shingle or blade style).</w:t>
      </w:r>
      <w:r w:rsidRPr="00680992">
        <w:rPr>
          <w:rFonts w:asciiTheme="minorHAnsi" w:hAnsiTheme="minorHAnsi" w:cstheme="minorHAnsi"/>
          <w:b/>
          <w:szCs w:val="22"/>
        </w:rPr>
        <w:t xml:space="preserve"> For each owned or leased space with ground floor frontage, one small projecting sign may be erected. If used, the following standards apply: </w:t>
      </w:r>
    </w:p>
    <w:p w14:paraId="72A81E6B" w14:textId="77777777" w:rsidR="00680992" w:rsidRPr="00680992" w:rsidRDefault="00680992" w:rsidP="00680992">
      <w:pPr>
        <w:pStyle w:val="List3"/>
        <w:rPr>
          <w:rFonts w:asciiTheme="minorHAnsi" w:hAnsiTheme="minorHAnsi" w:cstheme="minorHAnsi"/>
          <w:b/>
          <w:szCs w:val="22"/>
        </w:rPr>
      </w:pPr>
      <w:r w:rsidRPr="00680992">
        <w:rPr>
          <w:rFonts w:asciiTheme="minorHAnsi" w:hAnsiTheme="minorHAnsi" w:cstheme="minorHAnsi"/>
          <w:b/>
          <w:szCs w:val="22"/>
        </w:rPr>
        <w:t>(</w:t>
      </w:r>
      <w:proofErr w:type="spellStart"/>
      <w:r w:rsidRPr="00680992">
        <w:rPr>
          <w:rFonts w:asciiTheme="minorHAnsi" w:hAnsiTheme="minorHAnsi" w:cstheme="minorHAnsi"/>
          <w:b/>
          <w:szCs w:val="22"/>
        </w:rPr>
        <w:t>i</w:t>
      </w:r>
      <w:proofErr w:type="spellEnd"/>
      <w:r w:rsidRPr="00680992">
        <w:rPr>
          <w:rFonts w:asciiTheme="minorHAnsi" w:hAnsiTheme="minorHAnsi" w:cstheme="minorHAnsi"/>
          <w:b/>
          <w:szCs w:val="22"/>
        </w:rPr>
        <w:t>)</w:t>
      </w:r>
      <w:r w:rsidRPr="00680992">
        <w:rPr>
          <w:rFonts w:asciiTheme="minorHAnsi" w:hAnsiTheme="minorHAnsi" w:cstheme="minorHAnsi"/>
          <w:b/>
          <w:szCs w:val="22"/>
        </w:rPr>
        <w:tab/>
        <w:t xml:space="preserve">Location: Small Projecting Signs (shingle or blade style) need not be placed within the tenant wall primary sign band. The signs shall be attached to the wall of a building or attached to the underside of an awning, canopy, marquee or building overhang. </w:t>
      </w:r>
    </w:p>
    <w:p w14:paraId="36A3E2F0" w14:textId="77777777" w:rsidR="00680992" w:rsidRPr="00680992" w:rsidRDefault="00680992" w:rsidP="00680992">
      <w:pPr>
        <w:pStyle w:val="List3"/>
        <w:rPr>
          <w:rFonts w:asciiTheme="minorHAnsi" w:hAnsiTheme="minorHAnsi" w:cstheme="minorHAnsi"/>
          <w:b/>
          <w:szCs w:val="22"/>
        </w:rPr>
      </w:pPr>
      <w:r w:rsidRPr="00680992">
        <w:rPr>
          <w:rFonts w:asciiTheme="minorHAnsi" w:hAnsiTheme="minorHAnsi" w:cstheme="minorHAnsi"/>
          <w:b/>
          <w:szCs w:val="22"/>
        </w:rPr>
        <w:t>(ii)</w:t>
      </w:r>
      <w:r w:rsidRPr="00680992">
        <w:rPr>
          <w:rFonts w:asciiTheme="minorHAnsi" w:hAnsiTheme="minorHAnsi" w:cstheme="minorHAnsi"/>
          <w:b/>
          <w:szCs w:val="22"/>
        </w:rPr>
        <w:tab/>
        <w:t xml:space="preserve">Number: One per ground floor tenant wall. </w:t>
      </w:r>
    </w:p>
    <w:p w14:paraId="4845D29A" w14:textId="77777777" w:rsidR="00680992" w:rsidRPr="00680992" w:rsidRDefault="00680992" w:rsidP="00680992">
      <w:pPr>
        <w:pStyle w:val="List3"/>
        <w:rPr>
          <w:rFonts w:asciiTheme="minorHAnsi" w:hAnsiTheme="minorHAnsi" w:cstheme="minorHAnsi"/>
          <w:b/>
          <w:szCs w:val="22"/>
        </w:rPr>
      </w:pPr>
      <w:r w:rsidRPr="00680992">
        <w:rPr>
          <w:rFonts w:asciiTheme="minorHAnsi" w:hAnsiTheme="minorHAnsi" w:cstheme="minorHAnsi"/>
          <w:b/>
          <w:szCs w:val="22"/>
        </w:rPr>
        <w:t>(iii)</w:t>
      </w:r>
      <w:r w:rsidRPr="00680992">
        <w:rPr>
          <w:rFonts w:asciiTheme="minorHAnsi" w:hAnsiTheme="minorHAnsi" w:cstheme="minorHAnsi"/>
          <w:b/>
          <w:szCs w:val="22"/>
        </w:rPr>
        <w:tab/>
        <w:t xml:space="preserve">Number of sides: No more than two sides. </w:t>
      </w:r>
    </w:p>
    <w:p w14:paraId="39AD2760" w14:textId="77777777" w:rsidR="00680992" w:rsidRPr="00680992" w:rsidRDefault="00680992" w:rsidP="00680992">
      <w:pPr>
        <w:pStyle w:val="List3"/>
        <w:rPr>
          <w:rFonts w:asciiTheme="minorHAnsi" w:hAnsiTheme="minorHAnsi" w:cstheme="minorHAnsi"/>
          <w:b/>
          <w:szCs w:val="22"/>
        </w:rPr>
      </w:pPr>
      <w:proofErr w:type="gramStart"/>
      <w:r w:rsidRPr="00680992">
        <w:rPr>
          <w:rFonts w:asciiTheme="minorHAnsi" w:hAnsiTheme="minorHAnsi" w:cstheme="minorHAnsi"/>
          <w:b/>
          <w:szCs w:val="22"/>
        </w:rPr>
        <w:t>(iv)</w:t>
      </w:r>
      <w:r w:rsidRPr="00680992">
        <w:rPr>
          <w:rFonts w:asciiTheme="minorHAnsi" w:hAnsiTheme="minorHAnsi" w:cstheme="minorHAnsi"/>
          <w:b/>
          <w:szCs w:val="22"/>
        </w:rPr>
        <w:tab/>
        <w:t>Height</w:t>
      </w:r>
      <w:proofErr w:type="gramEnd"/>
      <w:r w:rsidRPr="00680992">
        <w:rPr>
          <w:rFonts w:asciiTheme="minorHAnsi" w:hAnsiTheme="minorHAnsi" w:cstheme="minorHAnsi"/>
          <w:b/>
          <w:szCs w:val="22"/>
        </w:rPr>
        <w:t xml:space="preserve"> of Sign Face: No higher than 1.5 feet. </w:t>
      </w:r>
    </w:p>
    <w:p w14:paraId="42CC6804" w14:textId="77777777" w:rsidR="00680992" w:rsidRPr="00680992" w:rsidRDefault="00680992" w:rsidP="00680992">
      <w:pPr>
        <w:pStyle w:val="List3"/>
        <w:rPr>
          <w:rFonts w:asciiTheme="minorHAnsi" w:hAnsiTheme="minorHAnsi" w:cstheme="minorHAnsi"/>
          <w:b/>
          <w:szCs w:val="22"/>
        </w:rPr>
      </w:pPr>
      <w:r w:rsidRPr="00680992">
        <w:rPr>
          <w:rFonts w:asciiTheme="minorHAnsi" w:hAnsiTheme="minorHAnsi" w:cstheme="minorHAnsi"/>
          <w:b/>
          <w:szCs w:val="22"/>
        </w:rPr>
        <w:t>(v)</w:t>
      </w:r>
      <w:r w:rsidRPr="00680992">
        <w:rPr>
          <w:rFonts w:asciiTheme="minorHAnsi" w:hAnsiTheme="minorHAnsi" w:cstheme="minorHAnsi"/>
          <w:b/>
          <w:szCs w:val="22"/>
        </w:rPr>
        <w:tab/>
        <w:t xml:space="preserve">Width of Sign Face: Three feet. </w:t>
      </w:r>
    </w:p>
    <w:p w14:paraId="36BF28A3" w14:textId="77777777" w:rsidR="00680992" w:rsidRPr="00680992" w:rsidRDefault="00680992" w:rsidP="00680992">
      <w:pPr>
        <w:pStyle w:val="List3"/>
        <w:rPr>
          <w:rFonts w:asciiTheme="minorHAnsi" w:hAnsiTheme="minorHAnsi" w:cstheme="minorHAnsi"/>
          <w:b/>
          <w:szCs w:val="22"/>
        </w:rPr>
      </w:pPr>
      <w:proofErr w:type="gramStart"/>
      <w:r w:rsidRPr="00680992">
        <w:rPr>
          <w:rFonts w:asciiTheme="minorHAnsi" w:hAnsiTheme="minorHAnsi" w:cstheme="minorHAnsi"/>
          <w:b/>
          <w:szCs w:val="22"/>
        </w:rPr>
        <w:t>(vi)</w:t>
      </w:r>
      <w:r w:rsidRPr="00680992">
        <w:rPr>
          <w:rFonts w:asciiTheme="minorHAnsi" w:hAnsiTheme="minorHAnsi" w:cstheme="minorHAnsi"/>
          <w:b/>
          <w:szCs w:val="22"/>
        </w:rPr>
        <w:tab/>
        <w:t>Sign</w:t>
      </w:r>
      <w:proofErr w:type="gramEnd"/>
      <w:r w:rsidRPr="00680992">
        <w:rPr>
          <w:rFonts w:asciiTheme="minorHAnsi" w:hAnsiTheme="minorHAnsi" w:cstheme="minorHAnsi"/>
          <w:b/>
          <w:szCs w:val="22"/>
        </w:rPr>
        <w:t xml:space="preserve"> Face Area: No more than 4.5 square feet. </w:t>
      </w:r>
    </w:p>
    <w:p w14:paraId="5E86BE1E" w14:textId="77777777" w:rsidR="00680992" w:rsidRPr="00680992" w:rsidRDefault="00680992" w:rsidP="00680992">
      <w:pPr>
        <w:pStyle w:val="List3"/>
        <w:rPr>
          <w:rFonts w:asciiTheme="minorHAnsi" w:hAnsiTheme="minorHAnsi" w:cstheme="minorHAnsi"/>
          <w:b/>
          <w:szCs w:val="22"/>
        </w:rPr>
      </w:pPr>
      <w:r w:rsidRPr="00680992">
        <w:rPr>
          <w:rFonts w:asciiTheme="minorHAnsi" w:hAnsiTheme="minorHAnsi" w:cstheme="minorHAnsi"/>
          <w:b/>
          <w:szCs w:val="22"/>
        </w:rPr>
        <w:t>(vii)</w:t>
      </w:r>
      <w:r w:rsidRPr="00680992">
        <w:rPr>
          <w:rFonts w:asciiTheme="minorHAnsi" w:hAnsiTheme="minorHAnsi" w:cstheme="minorHAnsi"/>
          <w:b/>
          <w:szCs w:val="22"/>
        </w:rPr>
        <w:tab/>
        <w:t xml:space="preserve">Height of Sign. The distance from the sidewalk or grade up to the bottom of the sign shall be at least eight feet. </w:t>
      </w:r>
    </w:p>
    <w:p w14:paraId="72387AFC" w14:textId="4ACDE1F0" w:rsidR="00680992" w:rsidRDefault="00680992" w:rsidP="00680992">
      <w:pPr>
        <w:pStyle w:val="List3"/>
        <w:rPr>
          <w:rFonts w:asciiTheme="minorHAnsi" w:hAnsiTheme="minorHAnsi" w:cstheme="minorHAnsi"/>
          <w:b/>
          <w:szCs w:val="22"/>
        </w:rPr>
      </w:pPr>
      <w:r w:rsidRPr="00680992">
        <w:rPr>
          <w:rFonts w:asciiTheme="minorHAnsi" w:hAnsiTheme="minorHAnsi" w:cstheme="minorHAnsi"/>
          <w:b/>
          <w:szCs w:val="22"/>
        </w:rPr>
        <w:t>(viii)</w:t>
      </w:r>
      <w:r w:rsidRPr="00680992">
        <w:rPr>
          <w:rFonts w:asciiTheme="minorHAnsi" w:hAnsiTheme="minorHAnsi" w:cstheme="minorHAnsi"/>
          <w:b/>
          <w:szCs w:val="22"/>
        </w:rPr>
        <w:tab/>
        <w:t xml:space="preserve">Illumination: Direct, indirect or internal. </w:t>
      </w:r>
    </w:p>
    <w:p w14:paraId="34F44323" w14:textId="4715CDD8" w:rsidR="00C20B4F" w:rsidRDefault="00C20B4F" w:rsidP="00680992">
      <w:pPr>
        <w:pStyle w:val="List3"/>
        <w:ind w:left="0" w:firstLine="0"/>
        <w:rPr>
          <w:rFonts w:asciiTheme="minorHAnsi" w:hAnsiTheme="minorHAnsi" w:cstheme="minorHAnsi"/>
          <w:b/>
          <w:szCs w:val="22"/>
        </w:rPr>
      </w:pPr>
    </w:p>
    <w:p w14:paraId="53F91E7D" w14:textId="091CE7C6" w:rsidR="00680992" w:rsidRPr="00680992" w:rsidRDefault="00680992" w:rsidP="00680992">
      <w:pPr>
        <w:pStyle w:val="List3"/>
        <w:ind w:left="0" w:firstLine="0"/>
        <w:rPr>
          <w:rFonts w:asciiTheme="minorHAnsi" w:hAnsiTheme="minorHAnsi" w:cstheme="minorHAnsi"/>
          <w:b/>
          <w:szCs w:val="22"/>
          <w:u w:val="single"/>
        </w:rPr>
      </w:pPr>
      <w:r w:rsidRPr="00496935">
        <w:rPr>
          <w:rFonts w:asciiTheme="minorHAnsi" w:hAnsiTheme="minorHAnsi" w:cstheme="minorHAnsi"/>
          <w:b/>
          <w:szCs w:val="22"/>
          <w:u w:val="single"/>
        </w:rPr>
        <w:t>Findings</w:t>
      </w:r>
      <w:r w:rsidRPr="00496935">
        <w:rPr>
          <w:rFonts w:asciiTheme="minorHAnsi" w:hAnsiTheme="minorHAnsi" w:cstheme="minorHAnsi"/>
          <w:b/>
          <w:szCs w:val="22"/>
        </w:rPr>
        <w:t>:</w:t>
      </w:r>
    </w:p>
    <w:p w14:paraId="7BDAEA49" w14:textId="4E3E6CD9" w:rsidR="00680992" w:rsidRDefault="00496935" w:rsidP="00926FDA">
      <w:pPr>
        <w:rPr>
          <w:i/>
        </w:rPr>
      </w:pPr>
      <w:r w:rsidRPr="00496935">
        <w:rPr>
          <w:i/>
        </w:rPr>
        <w:t xml:space="preserve">The </w:t>
      </w:r>
      <w:r>
        <w:rPr>
          <w:i/>
        </w:rPr>
        <w:t xml:space="preserve">requested sign variances are located in the Central Commercial (CC) Planning </w:t>
      </w:r>
      <w:r w:rsidR="00143814">
        <w:rPr>
          <w:i/>
        </w:rPr>
        <w:t>District</w:t>
      </w:r>
      <w:r>
        <w:rPr>
          <w:i/>
        </w:rPr>
        <w:t>. Without an approved variance, signs would nee</w:t>
      </w:r>
      <w:r w:rsidR="00143814">
        <w:rPr>
          <w:i/>
        </w:rPr>
        <w:t>d to meet the above standards of TDC 32.220(1</w:t>
      </w:r>
      <w:proofErr w:type="gramStart"/>
      <w:r w:rsidR="00143814">
        <w:rPr>
          <w:i/>
        </w:rPr>
        <w:t>)(</w:t>
      </w:r>
      <w:proofErr w:type="gramEnd"/>
      <w:r w:rsidR="00143814">
        <w:rPr>
          <w:i/>
        </w:rPr>
        <w:t xml:space="preserve">d). </w:t>
      </w:r>
    </w:p>
    <w:p w14:paraId="0A974F3B" w14:textId="6D172ED6" w:rsidR="00143814" w:rsidRDefault="00143814" w:rsidP="00926FDA">
      <w:pPr>
        <w:rPr>
          <w:i/>
        </w:rPr>
      </w:pPr>
    </w:p>
    <w:p w14:paraId="2D6CC16D" w14:textId="77777777" w:rsidR="00143814" w:rsidRPr="00496935" w:rsidRDefault="00143814" w:rsidP="00926FDA">
      <w:pPr>
        <w:rPr>
          <w:i/>
        </w:rPr>
      </w:pPr>
    </w:p>
    <w:bookmarkEnd w:id="10"/>
    <w:bookmarkEnd w:id="11"/>
    <w:p w14:paraId="6842C3EC" w14:textId="6FE712B5" w:rsidR="000A0A19" w:rsidRPr="00C02D66" w:rsidRDefault="000A0A19" w:rsidP="00336E51">
      <w:pPr>
        <w:overflowPunct/>
        <w:autoSpaceDE/>
        <w:autoSpaceDN/>
        <w:adjustRightInd/>
        <w:spacing w:after="60"/>
        <w:ind w:left="864" w:hanging="864"/>
        <w:textAlignment w:val="auto"/>
        <w:rPr>
          <w:rFonts w:cs="Calibri"/>
          <w:szCs w:val="22"/>
        </w:rPr>
      </w:pPr>
    </w:p>
    <w:sectPr w:rsidR="000A0A19" w:rsidRPr="00C02D66" w:rsidSect="004C1B36">
      <w:headerReference w:type="default" r:id="rId16"/>
      <w:headerReference w:type="first" r:id="rId17"/>
      <w:footerReference w:type="first" r:id="rId18"/>
      <w:pgSz w:w="12240" w:h="15840" w:code="1"/>
      <w:pgMar w:top="1440" w:right="1440" w:bottom="1440" w:left="1440" w:header="720" w:footer="40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9DA345" w14:textId="77777777" w:rsidR="002E315D" w:rsidRDefault="002E315D">
      <w:r>
        <w:separator/>
      </w:r>
    </w:p>
  </w:endnote>
  <w:endnote w:type="continuationSeparator" w:id="0">
    <w:p w14:paraId="3CEBC907" w14:textId="77777777" w:rsidR="002E315D" w:rsidRDefault="002E31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Gotham Condensed Bold">
    <w:panose1 w:val="00000000000000000000"/>
    <w:charset w:val="00"/>
    <w:family w:val="modern"/>
    <w:notTrueType/>
    <w:pitch w:val="variable"/>
    <w:sig w:usb0="A00000FF" w:usb1="4000004A" w:usb2="00000000" w:usb3="00000000" w:csb0="0000000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443B9" w14:textId="0FFF1B18" w:rsidR="002E315D" w:rsidRPr="00875FAA" w:rsidRDefault="002E315D" w:rsidP="00875FAA">
    <w:pPr>
      <w:pStyle w:val="Footer"/>
    </w:pPr>
    <w:r w:rsidRPr="00875FAA">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6F49DC" w14:textId="77777777" w:rsidR="002E315D" w:rsidRDefault="002E315D">
      <w:r>
        <w:separator/>
      </w:r>
    </w:p>
  </w:footnote>
  <w:footnote w:type="continuationSeparator" w:id="0">
    <w:p w14:paraId="00AB071C" w14:textId="77777777" w:rsidR="002E315D" w:rsidRDefault="002E31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69EC5C" w14:textId="52FAB289" w:rsidR="002E315D" w:rsidRPr="003146D7" w:rsidRDefault="002E315D" w:rsidP="008713C1">
    <w:pPr>
      <w:pStyle w:val="Header"/>
      <w:rPr>
        <w:rFonts w:asciiTheme="minorHAnsi" w:hAnsiTheme="minorHAnsi"/>
        <w:sz w:val="18"/>
        <w:szCs w:val="18"/>
      </w:rPr>
    </w:pPr>
    <w:r>
      <w:rPr>
        <w:rFonts w:asciiTheme="minorHAnsi" w:hAnsiTheme="minorHAnsi"/>
        <w:sz w:val="18"/>
        <w:szCs w:val="18"/>
      </w:rPr>
      <w:t>SVAR 24-0001 Cabela’s/Bass Pro Shops</w:t>
    </w:r>
  </w:p>
  <w:p w14:paraId="2E9D60B0" w14:textId="007C1FDD" w:rsidR="002E315D" w:rsidRPr="003146D7" w:rsidRDefault="002E315D" w:rsidP="008713C1">
    <w:pPr>
      <w:pStyle w:val="Header"/>
      <w:rPr>
        <w:rFonts w:asciiTheme="minorHAnsi" w:hAnsiTheme="minorHAnsi"/>
        <w:sz w:val="18"/>
        <w:szCs w:val="18"/>
      </w:rPr>
    </w:pPr>
    <w:r>
      <w:rPr>
        <w:rFonts w:asciiTheme="minorHAnsi" w:hAnsiTheme="minorHAnsi"/>
        <w:sz w:val="18"/>
        <w:szCs w:val="18"/>
      </w:rPr>
      <w:t>December 18, 2024</w:t>
    </w:r>
  </w:p>
  <w:p w14:paraId="6692FC8D" w14:textId="44E634CB" w:rsidR="002E315D" w:rsidRPr="003146D7" w:rsidRDefault="002E315D">
    <w:pPr>
      <w:pStyle w:val="Header"/>
      <w:rPr>
        <w:rFonts w:asciiTheme="minorHAnsi" w:hAnsiTheme="minorHAnsi"/>
        <w:sz w:val="18"/>
        <w:szCs w:val="18"/>
      </w:rPr>
    </w:pPr>
    <w:r w:rsidRPr="003146D7">
      <w:rPr>
        <w:rFonts w:asciiTheme="minorHAnsi" w:hAnsiTheme="minorHAnsi"/>
        <w:sz w:val="18"/>
        <w:szCs w:val="18"/>
      </w:rPr>
      <w:t xml:space="preserve">Page </w:t>
    </w:r>
    <w:r w:rsidRPr="003146D7">
      <w:rPr>
        <w:rFonts w:asciiTheme="minorHAnsi" w:hAnsiTheme="minorHAnsi"/>
        <w:sz w:val="18"/>
        <w:szCs w:val="18"/>
      </w:rPr>
      <w:fldChar w:fldCharType="begin"/>
    </w:r>
    <w:r w:rsidRPr="003146D7">
      <w:rPr>
        <w:rFonts w:asciiTheme="minorHAnsi" w:hAnsiTheme="minorHAnsi"/>
        <w:sz w:val="18"/>
        <w:szCs w:val="18"/>
      </w:rPr>
      <w:instrText xml:space="preserve"> PAGE </w:instrText>
    </w:r>
    <w:r w:rsidRPr="003146D7">
      <w:rPr>
        <w:rFonts w:asciiTheme="minorHAnsi" w:hAnsiTheme="minorHAnsi"/>
        <w:sz w:val="18"/>
        <w:szCs w:val="18"/>
      </w:rPr>
      <w:fldChar w:fldCharType="separate"/>
    </w:r>
    <w:r w:rsidR="003F1758">
      <w:rPr>
        <w:rFonts w:asciiTheme="minorHAnsi" w:hAnsiTheme="minorHAnsi"/>
        <w:noProof/>
        <w:sz w:val="18"/>
        <w:szCs w:val="18"/>
      </w:rPr>
      <w:t>26</w:t>
    </w:r>
    <w:r w:rsidRPr="003146D7">
      <w:rPr>
        <w:rFonts w:asciiTheme="minorHAnsi" w:hAnsiTheme="minorHAnsi"/>
        <w:sz w:val="18"/>
        <w:szCs w:val="18"/>
      </w:rPr>
      <w:fldChar w:fldCharType="end"/>
    </w:r>
    <w:r w:rsidRPr="003146D7">
      <w:rPr>
        <w:rFonts w:asciiTheme="minorHAnsi" w:hAnsiTheme="minorHAnsi"/>
        <w:sz w:val="18"/>
        <w:szCs w:val="18"/>
      </w:rPr>
      <w:t xml:space="preserve"> of </w:t>
    </w:r>
    <w:r w:rsidRPr="003146D7">
      <w:rPr>
        <w:rFonts w:asciiTheme="minorHAnsi" w:hAnsiTheme="minorHAnsi"/>
        <w:sz w:val="18"/>
        <w:szCs w:val="18"/>
      </w:rPr>
      <w:fldChar w:fldCharType="begin"/>
    </w:r>
    <w:r w:rsidRPr="003146D7">
      <w:rPr>
        <w:rFonts w:asciiTheme="minorHAnsi" w:hAnsiTheme="minorHAnsi"/>
        <w:sz w:val="18"/>
        <w:szCs w:val="18"/>
      </w:rPr>
      <w:instrText xml:space="preserve"> NUMPAGES  </w:instrText>
    </w:r>
    <w:r w:rsidRPr="003146D7">
      <w:rPr>
        <w:rFonts w:asciiTheme="minorHAnsi" w:hAnsiTheme="minorHAnsi"/>
        <w:sz w:val="18"/>
        <w:szCs w:val="18"/>
      </w:rPr>
      <w:fldChar w:fldCharType="separate"/>
    </w:r>
    <w:r w:rsidR="003F1758">
      <w:rPr>
        <w:rFonts w:asciiTheme="minorHAnsi" w:hAnsiTheme="minorHAnsi"/>
        <w:noProof/>
        <w:sz w:val="18"/>
        <w:szCs w:val="18"/>
      </w:rPr>
      <w:t>26</w:t>
    </w:r>
    <w:r w:rsidRPr="003146D7">
      <w:rPr>
        <w:rFonts w:asciiTheme="minorHAnsi" w:hAnsiTheme="minorHAnsi"/>
        <w:sz w:val="18"/>
        <w:szCs w:val="18"/>
      </w:rPr>
      <w:fldChar w:fldCharType="end"/>
    </w:r>
  </w:p>
  <w:p w14:paraId="2FEFAB67" w14:textId="77777777" w:rsidR="002E315D" w:rsidRPr="00DB5B75" w:rsidRDefault="002E315D">
    <w:pPr>
      <w:pStyle w:val="Header"/>
      <w:rPr>
        <w:szCs w:val="2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30568" w14:textId="70E20CB6" w:rsidR="002E315D" w:rsidRPr="00CB43F9" w:rsidRDefault="002E315D" w:rsidP="0086066C">
    <w:pPr>
      <w:pStyle w:val="Header"/>
      <w:tabs>
        <w:tab w:val="clear" w:pos="4320"/>
        <w:tab w:val="clear" w:pos="8640"/>
      </w:tabs>
      <w:rPr>
        <w:rFonts w:cs="Arial"/>
      </w:rPr>
    </w:pPr>
    <w:r>
      <w:rPr>
        <w:rFonts w:cs="Arial"/>
        <w:noProof/>
      </w:rPr>
      <w:drawing>
        <wp:inline distT="0" distB="0" distL="0" distR="0" wp14:anchorId="644E610E" wp14:editId="3FE28A57">
          <wp:extent cx="1499870" cy="109156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9870" cy="109156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2C60BC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5C0B13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499EB40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FB058F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E03E703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5AA8D3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9226EB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13ED34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234679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044E03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FEB63070"/>
    <w:lvl w:ilvl="0">
      <w:start w:val="1"/>
      <w:numFmt w:val="upperRoman"/>
      <w:lvlText w:val="%1."/>
      <w:legacy w:legacy="1" w:legacySpace="0" w:legacyIndent="720"/>
      <w:lvlJc w:val="left"/>
      <w:pPr>
        <w:ind w:left="720" w:hanging="720"/>
      </w:pPr>
      <w:rPr>
        <w:rFonts w:ascii="Arial" w:eastAsia="Times New Roman" w:hAnsi="Arial" w:cs="Times New Roman"/>
      </w:rPr>
    </w:lvl>
    <w:lvl w:ilvl="1">
      <w:start w:val="1"/>
      <w:numFmt w:val="upperLetter"/>
      <w:lvlText w:val="%2."/>
      <w:legacy w:legacy="1" w:legacySpace="0" w:legacyIndent="720"/>
      <w:lvlJc w:val="left"/>
      <w:pPr>
        <w:ind w:left="1890" w:hanging="720"/>
      </w:pPr>
    </w:lvl>
    <w:lvl w:ilvl="2">
      <w:start w:val="1"/>
      <w:numFmt w:val="decimal"/>
      <w:pStyle w:val="Heading3"/>
      <w:lvlText w:val="%3."/>
      <w:legacy w:legacy="1" w:legacySpace="0" w:legacyIndent="720"/>
      <w:lvlJc w:val="left"/>
      <w:pPr>
        <w:ind w:left="3060" w:hanging="720"/>
      </w:pPr>
    </w:lvl>
    <w:lvl w:ilvl="3">
      <w:start w:val="1"/>
      <w:numFmt w:val="lowerLetter"/>
      <w:pStyle w:val="Heading4"/>
      <w:lvlText w:val="%4)"/>
      <w:legacy w:legacy="1" w:legacySpace="0" w:legacyIndent="720"/>
      <w:lvlJc w:val="left"/>
      <w:pPr>
        <w:ind w:left="2880" w:hanging="720"/>
      </w:pPr>
    </w:lvl>
    <w:lvl w:ilvl="4">
      <w:start w:val="1"/>
      <w:numFmt w:val="decimal"/>
      <w:pStyle w:val="Heading5"/>
      <w:lvlText w:val="(%5)"/>
      <w:legacy w:legacy="1" w:legacySpace="0" w:legacyIndent="720"/>
      <w:lvlJc w:val="left"/>
      <w:pPr>
        <w:ind w:left="3600" w:hanging="720"/>
      </w:pPr>
    </w:lvl>
    <w:lvl w:ilvl="5">
      <w:start w:val="1"/>
      <w:numFmt w:val="lowerLetter"/>
      <w:pStyle w:val="Heading6"/>
      <w:lvlText w:val="(%6)"/>
      <w:legacy w:legacy="1" w:legacySpace="0" w:legacyIndent="720"/>
      <w:lvlJc w:val="left"/>
      <w:pPr>
        <w:ind w:left="4320" w:hanging="720"/>
      </w:pPr>
    </w:lvl>
    <w:lvl w:ilvl="6">
      <w:start w:val="1"/>
      <w:numFmt w:val="lowerRoman"/>
      <w:pStyle w:val="Heading7"/>
      <w:lvlText w:val="(%7)"/>
      <w:legacy w:legacy="1" w:legacySpace="0" w:legacyIndent="720"/>
      <w:lvlJc w:val="left"/>
      <w:pPr>
        <w:ind w:left="5040" w:hanging="720"/>
      </w:pPr>
    </w:lvl>
    <w:lvl w:ilvl="7">
      <w:start w:val="1"/>
      <w:numFmt w:val="lowerLetter"/>
      <w:pStyle w:val="Heading8"/>
      <w:lvlText w:val="(%8)"/>
      <w:legacy w:legacy="1" w:legacySpace="0" w:legacyIndent="720"/>
      <w:lvlJc w:val="left"/>
      <w:pPr>
        <w:ind w:left="5760" w:hanging="720"/>
      </w:pPr>
    </w:lvl>
    <w:lvl w:ilvl="8">
      <w:start w:val="1"/>
      <w:numFmt w:val="lowerRoman"/>
      <w:pStyle w:val="Heading9"/>
      <w:lvlText w:val="(%9)"/>
      <w:legacy w:legacy="1" w:legacySpace="0" w:legacyIndent="720"/>
      <w:lvlJc w:val="left"/>
      <w:pPr>
        <w:ind w:left="6480" w:hanging="720"/>
      </w:pPr>
    </w:lvl>
  </w:abstractNum>
  <w:abstractNum w:abstractNumId="11" w15:restartNumberingAfterBreak="0">
    <w:nsid w:val="05C03EFF"/>
    <w:multiLevelType w:val="hybridMultilevel"/>
    <w:tmpl w:val="65CE1F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3C766F"/>
    <w:multiLevelType w:val="hybridMultilevel"/>
    <w:tmpl w:val="A7F889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DAB1A42"/>
    <w:multiLevelType w:val="hybridMultilevel"/>
    <w:tmpl w:val="362A5C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D90D23"/>
    <w:multiLevelType w:val="hybridMultilevel"/>
    <w:tmpl w:val="47C84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8093E31"/>
    <w:multiLevelType w:val="hybridMultilevel"/>
    <w:tmpl w:val="049E8210"/>
    <w:lvl w:ilvl="0" w:tplc="2DAC7584">
      <w:start w:val="1"/>
      <w:numFmt w:val="decimal"/>
      <w:lvlText w:val="%1."/>
      <w:lvlJc w:val="left"/>
      <w:pPr>
        <w:ind w:left="720" w:hanging="360"/>
      </w:pPr>
      <w:rPr>
        <w:rFonts w:ascii="Calibri" w:eastAsia="Times New Roman" w:hAnsi="Calibri" w:cs="Times New Roman"/>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88970B5"/>
    <w:multiLevelType w:val="hybridMultilevel"/>
    <w:tmpl w:val="5D7CF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98D62CB"/>
    <w:multiLevelType w:val="hybridMultilevel"/>
    <w:tmpl w:val="D3088B14"/>
    <w:lvl w:ilvl="0" w:tplc="DD0CA508">
      <w:start w:val="1"/>
      <w:numFmt w:val="decimal"/>
      <w:lvlText w:val="%1."/>
      <w:lvlJc w:val="left"/>
      <w:pPr>
        <w:ind w:left="1875" w:hanging="435"/>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21712A2A"/>
    <w:multiLevelType w:val="hybridMultilevel"/>
    <w:tmpl w:val="6A9E8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3D151BD"/>
    <w:multiLevelType w:val="hybridMultilevel"/>
    <w:tmpl w:val="A7F8891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16062F"/>
    <w:multiLevelType w:val="hybridMultilevel"/>
    <w:tmpl w:val="B530825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4431C97"/>
    <w:multiLevelType w:val="hybridMultilevel"/>
    <w:tmpl w:val="F30E20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60108EE"/>
    <w:multiLevelType w:val="hybridMultilevel"/>
    <w:tmpl w:val="9BE0652A"/>
    <w:lvl w:ilvl="0" w:tplc="BAE0CB80">
      <w:start w:val="1"/>
      <w:numFmt w:val="upperLetter"/>
      <w:pStyle w:val="Headi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FEA26D5"/>
    <w:multiLevelType w:val="hybridMultilevel"/>
    <w:tmpl w:val="C9AA1F48"/>
    <w:lvl w:ilvl="0" w:tplc="120CC7FC">
      <w:start w:val="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613E2B"/>
    <w:multiLevelType w:val="hybridMultilevel"/>
    <w:tmpl w:val="79B48CC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E15BFB"/>
    <w:multiLevelType w:val="hybridMultilevel"/>
    <w:tmpl w:val="6BF890C8"/>
    <w:lvl w:ilvl="0" w:tplc="DD0CA508">
      <w:start w:val="1"/>
      <w:numFmt w:val="decimal"/>
      <w:lvlText w:val="%1."/>
      <w:lvlJc w:val="left"/>
      <w:pPr>
        <w:ind w:left="1875" w:hanging="435"/>
      </w:pPr>
      <w:rPr>
        <w:rFonts w:hint="default"/>
      </w:rPr>
    </w:lvl>
    <w:lvl w:ilvl="1" w:tplc="04090019">
      <w:start w:val="1"/>
      <w:numFmt w:val="lowerLetter"/>
      <w:lvlText w:val="%2."/>
      <w:lvlJc w:val="left"/>
      <w:pPr>
        <w:ind w:left="2520" w:hanging="360"/>
      </w:pPr>
    </w:lvl>
    <w:lvl w:ilvl="2" w:tplc="CAC0A770">
      <w:start w:val="1"/>
      <w:numFmt w:val="upperLetter"/>
      <w:lvlText w:val="%3."/>
      <w:lvlJc w:val="left"/>
      <w:pPr>
        <w:ind w:left="3420" w:hanging="360"/>
      </w:pPr>
      <w:rPr>
        <w:rFonts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4F577D00"/>
    <w:multiLevelType w:val="hybridMultilevel"/>
    <w:tmpl w:val="56F21D96"/>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3A12183"/>
    <w:multiLevelType w:val="hybridMultilevel"/>
    <w:tmpl w:val="C660D1A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392FE4"/>
    <w:multiLevelType w:val="hybridMultilevel"/>
    <w:tmpl w:val="0AD029BA"/>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E6A500C"/>
    <w:multiLevelType w:val="hybridMultilevel"/>
    <w:tmpl w:val="B27CE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5D363D"/>
    <w:multiLevelType w:val="hybridMultilevel"/>
    <w:tmpl w:val="12665A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FEE433F"/>
    <w:multiLevelType w:val="hybridMultilevel"/>
    <w:tmpl w:val="1CE6EB36"/>
    <w:lvl w:ilvl="0" w:tplc="120CC7FC">
      <w:start w:val="2"/>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2394C70"/>
    <w:multiLevelType w:val="hybridMultilevel"/>
    <w:tmpl w:val="5BD6776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48D1C4B"/>
    <w:multiLevelType w:val="hybridMultilevel"/>
    <w:tmpl w:val="22C2D726"/>
    <w:lvl w:ilvl="0" w:tplc="120CC7FC">
      <w:start w:val="2"/>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A0C00E8"/>
    <w:multiLevelType w:val="hybridMultilevel"/>
    <w:tmpl w:val="FD24E916"/>
    <w:lvl w:ilvl="0" w:tplc="04090001">
      <w:start w:val="1"/>
      <w:numFmt w:val="bullet"/>
      <w:lvlText w:val=""/>
      <w:lvlJc w:val="left"/>
      <w:pPr>
        <w:ind w:left="1804" w:hanging="360"/>
      </w:pPr>
      <w:rPr>
        <w:rFonts w:ascii="Symbol" w:hAnsi="Symbol" w:hint="default"/>
      </w:rPr>
    </w:lvl>
    <w:lvl w:ilvl="1" w:tplc="04090003" w:tentative="1">
      <w:start w:val="1"/>
      <w:numFmt w:val="bullet"/>
      <w:lvlText w:val="o"/>
      <w:lvlJc w:val="left"/>
      <w:pPr>
        <w:ind w:left="2524" w:hanging="360"/>
      </w:pPr>
      <w:rPr>
        <w:rFonts w:ascii="Courier New" w:hAnsi="Courier New" w:cs="Courier New" w:hint="default"/>
      </w:rPr>
    </w:lvl>
    <w:lvl w:ilvl="2" w:tplc="04090005" w:tentative="1">
      <w:start w:val="1"/>
      <w:numFmt w:val="bullet"/>
      <w:lvlText w:val=""/>
      <w:lvlJc w:val="left"/>
      <w:pPr>
        <w:ind w:left="3244" w:hanging="360"/>
      </w:pPr>
      <w:rPr>
        <w:rFonts w:ascii="Wingdings" w:hAnsi="Wingdings" w:hint="default"/>
      </w:rPr>
    </w:lvl>
    <w:lvl w:ilvl="3" w:tplc="04090001" w:tentative="1">
      <w:start w:val="1"/>
      <w:numFmt w:val="bullet"/>
      <w:lvlText w:val=""/>
      <w:lvlJc w:val="left"/>
      <w:pPr>
        <w:ind w:left="3964" w:hanging="360"/>
      </w:pPr>
      <w:rPr>
        <w:rFonts w:ascii="Symbol" w:hAnsi="Symbol" w:hint="default"/>
      </w:rPr>
    </w:lvl>
    <w:lvl w:ilvl="4" w:tplc="04090003" w:tentative="1">
      <w:start w:val="1"/>
      <w:numFmt w:val="bullet"/>
      <w:lvlText w:val="o"/>
      <w:lvlJc w:val="left"/>
      <w:pPr>
        <w:ind w:left="4684" w:hanging="360"/>
      </w:pPr>
      <w:rPr>
        <w:rFonts w:ascii="Courier New" w:hAnsi="Courier New" w:cs="Courier New" w:hint="default"/>
      </w:rPr>
    </w:lvl>
    <w:lvl w:ilvl="5" w:tplc="04090005" w:tentative="1">
      <w:start w:val="1"/>
      <w:numFmt w:val="bullet"/>
      <w:lvlText w:val=""/>
      <w:lvlJc w:val="left"/>
      <w:pPr>
        <w:ind w:left="5404" w:hanging="360"/>
      </w:pPr>
      <w:rPr>
        <w:rFonts w:ascii="Wingdings" w:hAnsi="Wingdings" w:hint="default"/>
      </w:rPr>
    </w:lvl>
    <w:lvl w:ilvl="6" w:tplc="04090001" w:tentative="1">
      <w:start w:val="1"/>
      <w:numFmt w:val="bullet"/>
      <w:lvlText w:val=""/>
      <w:lvlJc w:val="left"/>
      <w:pPr>
        <w:ind w:left="6124" w:hanging="360"/>
      </w:pPr>
      <w:rPr>
        <w:rFonts w:ascii="Symbol" w:hAnsi="Symbol" w:hint="default"/>
      </w:rPr>
    </w:lvl>
    <w:lvl w:ilvl="7" w:tplc="04090003" w:tentative="1">
      <w:start w:val="1"/>
      <w:numFmt w:val="bullet"/>
      <w:lvlText w:val="o"/>
      <w:lvlJc w:val="left"/>
      <w:pPr>
        <w:ind w:left="6844" w:hanging="360"/>
      </w:pPr>
      <w:rPr>
        <w:rFonts w:ascii="Courier New" w:hAnsi="Courier New" w:cs="Courier New" w:hint="default"/>
      </w:rPr>
    </w:lvl>
    <w:lvl w:ilvl="8" w:tplc="04090005" w:tentative="1">
      <w:start w:val="1"/>
      <w:numFmt w:val="bullet"/>
      <w:lvlText w:val=""/>
      <w:lvlJc w:val="left"/>
      <w:pPr>
        <w:ind w:left="7564" w:hanging="360"/>
      </w:pPr>
      <w:rPr>
        <w:rFonts w:ascii="Wingdings" w:hAnsi="Wingdings" w:hint="default"/>
      </w:rPr>
    </w:lvl>
  </w:abstractNum>
  <w:abstractNum w:abstractNumId="35" w15:restartNumberingAfterBreak="0">
    <w:nsid w:val="7AB25226"/>
    <w:multiLevelType w:val="hybridMultilevel"/>
    <w:tmpl w:val="71544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30"/>
  </w:num>
  <w:num w:numId="3">
    <w:abstractNumId w:val="29"/>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1"/>
  </w:num>
  <w:num w:numId="15">
    <w:abstractNumId w:val="22"/>
  </w:num>
  <w:num w:numId="16">
    <w:abstractNumId w:val="35"/>
  </w:num>
  <w:num w:numId="17">
    <w:abstractNumId w:val="14"/>
  </w:num>
  <w:num w:numId="18">
    <w:abstractNumId w:val="16"/>
  </w:num>
  <w:num w:numId="19">
    <w:abstractNumId w:val="18"/>
  </w:num>
  <w:num w:numId="20">
    <w:abstractNumId w:val="34"/>
  </w:num>
  <w:num w:numId="21">
    <w:abstractNumId w:val="21"/>
  </w:num>
  <w:num w:numId="22">
    <w:abstractNumId w:val="19"/>
  </w:num>
  <w:num w:numId="23">
    <w:abstractNumId w:val="23"/>
  </w:num>
  <w:num w:numId="24">
    <w:abstractNumId w:val="31"/>
  </w:num>
  <w:num w:numId="25">
    <w:abstractNumId w:val="33"/>
  </w:num>
  <w:num w:numId="26">
    <w:abstractNumId w:val="25"/>
  </w:num>
  <w:num w:numId="27">
    <w:abstractNumId w:val="17"/>
  </w:num>
  <w:num w:numId="28">
    <w:abstractNumId w:val="13"/>
  </w:num>
  <w:num w:numId="29">
    <w:abstractNumId w:val="12"/>
  </w:num>
  <w:num w:numId="30">
    <w:abstractNumId w:val="15"/>
  </w:num>
  <w:num w:numId="31">
    <w:abstractNumId w:val="32"/>
  </w:num>
  <w:num w:numId="32">
    <w:abstractNumId w:val="24"/>
  </w:num>
  <w:num w:numId="33">
    <w:abstractNumId w:val="28"/>
  </w:num>
  <w:num w:numId="34">
    <w:abstractNumId w:val="20"/>
  </w:num>
  <w:num w:numId="35">
    <w:abstractNumId w:val="26"/>
  </w:num>
  <w:num w:numId="36">
    <w:abstractNumId w:val="2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proofState w:spelling="clean" w:grammar="clean"/>
  <w:defaultTabStop w:val="432"/>
  <w:doNotHyphenateCaps/>
  <w:drawingGridHorizontalSpacing w:val="120"/>
  <w:drawingGridVerticalSpacing w:val="120"/>
  <w:displayHorizontalDrawingGridEvery w:val="2"/>
  <w:displayVerticalDrawingGridEvery w:val="0"/>
  <w:noPunctuationKerning/>
  <w:characterSpacingControl w:val="doNotCompress"/>
  <w:hdrShapeDefaults>
    <o:shapedefaults v:ext="edit" spidmax="20481"/>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05AE"/>
    <w:rsid w:val="0000080E"/>
    <w:rsid w:val="000008C5"/>
    <w:rsid w:val="00000B20"/>
    <w:rsid w:val="00000E4B"/>
    <w:rsid w:val="00001D57"/>
    <w:rsid w:val="00002D63"/>
    <w:rsid w:val="00002DF3"/>
    <w:rsid w:val="00002F4D"/>
    <w:rsid w:val="00002F6B"/>
    <w:rsid w:val="0000303F"/>
    <w:rsid w:val="00003441"/>
    <w:rsid w:val="000034BC"/>
    <w:rsid w:val="000037A5"/>
    <w:rsid w:val="000037E6"/>
    <w:rsid w:val="00004B82"/>
    <w:rsid w:val="00004EAD"/>
    <w:rsid w:val="0000579C"/>
    <w:rsid w:val="00006132"/>
    <w:rsid w:val="0000679F"/>
    <w:rsid w:val="00006AAC"/>
    <w:rsid w:val="00006B05"/>
    <w:rsid w:val="00006BF4"/>
    <w:rsid w:val="00006D71"/>
    <w:rsid w:val="0000721F"/>
    <w:rsid w:val="000072B1"/>
    <w:rsid w:val="0000752B"/>
    <w:rsid w:val="00007953"/>
    <w:rsid w:val="00007972"/>
    <w:rsid w:val="00007F65"/>
    <w:rsid w:val="000104CA"/>
    <w:rsid w:val="00010EBC"/>
    <w:rsid w:val="00011007"/>
    <w:rsid w:val="00011A0B"/>
    <w:rsid w:val="00011F46"/>
    <w:rsid w:val="0001215B"/>
    <w:rsid w:val="000124BC"/>
    <w:rsid w:val="000128D7"/>
    <w:rsid w:val="0001305B"/>
    <w:rsid w:val="00013F82"/>
    <w:rsid w:val="00014149"/>
    <w:rsid w:val="000142EF"/>
    <w:rsid w:val="0001448F"/>
    <w:rsid w:val="00014A10"/>
    <w:rsid w:val="00014B37"/>
    <w:rsid w:val="00014C4F"/>
    <w:rsid w:val="00014E5D"/>
    <w:rsid w:val="00015206"/>
    <w:rsid w:val="000155D6"/>
    <w:rsid w:val="00015B2A"/>
    <w:rsid w:val="00015EA1"/>
    <w:rsid w:val="00016084"/>
    <w:rsid w:val="0001625E"/>
    <w:rsid w:val="000165B2"/>
    <w:rsid w:val="00016B8A"/>
    <w:rsid w:val="000175D6"/>
    <w:rsid w:val="00017670"/>
    <w:rsid w:val="00020975"/>
    <w:rsid w:val="00020C06"/>
    <w:rsid w:val="0002102A"/>
    <w:rsid w:val="0002121A"/>
    <w:rsid w:val="000214D8"/>
    <w:rsid w:val="00021C19"/>
    <w:rsid w:val="00021E60"/>
    <w:rsid w:val="000221E5"/>
    <w:rsid w:val="00022CD3"/>
    <w:rsid w:val="00023127"/>
    <w:rsid w:val="000231DE"/>
    <w:rsid w:val="0002347E"/>
    <w:rsid w:val="00023A7F"/>
    <w:rsid w:val="00023D5D"/>
    <w:rsid w:val="0002433A"/>
    <w:rsid w:val="0002459E"/>
    <w:rsid w:val="00024DA0"/>
    <w:rsid w:val="00025198"/>
    <w:rsid w:val="000253B5"/>
    <w:rsid w:val="000254E4"/>
    <w:rsid w:val="00025547"/>
    <w:rsid w:val="00025FB6"/>
    <w:rsid w:val="00026184"/>
    <w:rsid w:val="00026635"/>
    <w:rsid w:val="000266FA"/>
    <w:rsid w:val="00026C53"/>
    <w:rsid w:val="00026DDD"/>
    <w:rsid w:val="00026E5E"/>
    <w:rsid w:val="0002799C"/>
    <w:rsid w:val="00027CB2"/>
    <w:rsid w:val="00027D52"/>
    <w:rsid w:val="000303AE"/>
    <w:rsid w:val="000313A8"/>
    <w:rsid w:val="00032030"/>
    <w:rsid w:val="00032599"/>
    <w:rsid w:val="0003336B"/>
    <w:rsid w:val="000336C7"/>
    <w:rsid w:val="000337A5"/>
    <w:rsid w:val="000337E7"/>
    <w:rsid w:val="00033D7B"/>
    <w:rsid w:val="00033DCC"/>
    <w:rsid w:val="00034422"/>
    <w:rsid w:val="000344CA"/>
    <w:rsid w:val="000345E5"/>
    <w:rsid w:val="00034CB0"/>
    <w:rsid w:val="00034D43"/>
    <w:rsid w:val="00035254"/>
    <w:rsid w:val="00035462"/>
    <w:rsid w:val="000355ED"/>
    <w:rsid w:val="00035614"/>
    <w:rsid w:val="00035768"/>
    <w:rsid w:val="000357A9"/>
    <w:rsid w:val="000360FE"/>
    <w:rsid w:val="00036286"/>
    <w:rsid w:val="00036F25"/>
    <w:rsid w:val="00036FBA"/>
    <w:rsid w:val="00037181"/>
    <w:rsid w:val="00037182"/>
    <w:rsid w:val="000374D8"/>
    <w:rsid w:val="00037514"/>
    <w:rsid w:val="00037EB3"/>
    <w:rsid w:val="000407D1"/>
    <w:rsid w:val="000409FD"/>
    <w:rsid w:val="00040A59"/>
    <w:rsid w:val="00040AC8"/>
    <w:rsid w:val="0004142F"/>
    <w:rsid w:val="00041695"/>
    <w:rsid w:val="00041893"/>
    <w:rsid w:val="000418C6"/>
    <w:rsid w:val="00041E4C"/>
    <w:rsid w:val="000425BD"/>
    <w:rsid w:val="000429E3"/>
    <w:rsid w:val="00042F74"/>
    <w:rsid w:val="00043341"/>
    <w:rsid w:val="000437E1"/>
    <w:rsid w:val="0004384C"/>
    <w:rsid w:val="00043D8C"/>
    <w:rsid w:val="00043F68"/>
    <w:rsid w:val="000448BE"/>
    <w:rsid w:val="00044B09"/>
    <w:rsid w:val="00044EA4"/>
    <w:rsid w:val="00045971"/>
    <w:rsid w:val="0004699B"/>
    <w:rsid w:val="00046B0C"/>
    <w:rsid w:val="00046F6E"/>
    <w:rsid w:val="000470FF"/>
    <w:rsid w:val="0004713C"/>
    <w:rsid w:val="000476A7"/>
    <w:rsid w:val="0004771E"/>
    <w:rsid w:val="000479F2"/>
    <w:rsid w:val="00047C5F"/>
    <w:rsid w:val="000505E3"/>
    <w:rsid w:val="00050A52"/>
    <w:rsid w:val="00050E98"/>
    <w:rsid w:val="00051716"/>
    <w:rsid w:val="000518BC"/>
    <w:rsid w:val="000519AB"/>
    <w:rsid w:val="00052154"/>
    <w:rsid w:val="0005237F"/>
    <w:rsid w:val="00052D5D"/>
    <w:rsid w:val="00053648"/>
    <w:rsid w:val="00053846"/>
    <w:rsid w:val="000539FC"/>
    <w:rsid w:val="000544C3"/>
    <w:rsid w:val="00054B15"/>
    <w:rsid w:val="00054F68"/>
    <w:rsid w:val="000550D7"/>
    <w:rsid w:val="0005523B"/>
    <w:rsid w:val="00055335"/>
    <w:rsid w:val="00055BAE"/>
    <w:rsid w:val="00055FB9"/>
    <w:rsid w:val="00056422"/>
    <w:rsid w:val="00056448"/>
    <w:rsid w:val="000568BB"/>
    <w:rsid w:val="00056A84"/>
    <w:rsid w:val="00056D25"/>
    <w:rsid w:val="00056E34"/>
    <w:rsid w:val="0005751D"/>
    <w:rsid w:val="0006012B"/>
    <w:rsid w:val="00060A48"/>
    <w:rsid w:val="00060E1F"/>
    <w:rsid w:val="00060F3E"/>
    <w:rsid w:val="00061277"/>
    <w:rsid w:val="00061BED"/>
    <w:rsid w:val="0006214C"/>
    <w:rsid w:val="00062374"/>
    <w:rsid w:val="00062522"/>
    <w:rsid w:val="00062D88"/>
    <w:rsid w:val="00062DC4"/>
    <w:rsid w:val="00063142"/>
    <w:rsid w:val="000631E0"/>
    <w:rsid w:val="0006329A"/>
    <w:rsid w:val="00063701"/>
    <w:rsid w:val="000637D2"/>
    <w:rsid w:val="00063973"/>
    <w:rsid w:val="00063B7C"/>
    <w:rsid w:val="000647C2"/>
    <w:rsid w:val="000649DF"/>
    <w:rsid w:val="00064BE8"/>
    <w:rsid w:val="00065540"/>
    <w:rsid w:val="00065A36"/>
    <w:rsid w:val="00065E19"/>
    <w:rsid w:val="0006697B"/>
    <w:rsid w:val="000671DE"/>
    <w:rsid w:val="00067445"/>
    <w:rsid w:val="000674E2"/>
    <w:rsid w:val="000676E5"/>
    <w:rsid w:val="00067DD0"/>
    <w:rsid w:val="00067FBD"/>
    <w:rsid w:val="00070109"/>
    <w:rsid w:val="000703B3"/>
    <w:rsid w:val="00070676"/>
    <w:rsid w:val="00070844"/>
    <w:rsid w:val="000708AD"/>
    <w:rsid w:val="00070DB3"/>
    <w:rsid w:val="0007123F"/>
    <w:rsid w:val="00071313"/>
    <w:rsid w:val="0007140B"/>
    <w:rsid w:val="00071438"/>
    <w:rsid w:val="0007147A"/>
    <w:rsid w:val="00071ECC"/>
    <w:rsid w:val="00071FC3"/>
    <w:rsid w:val="000724D5"/>
    <w:rsid w:val="0007263F"/>
    <w:rsid w:val="00072A81"/>
    <w:rsid w:val="00072F44"/>
    <w:rsid w:val="00072FBD"/>
    <w:rsid w:val="0007338D"/>
    <w:rsid w:val="00073413"/>
    <w:rsid w:val="000737E1"/>
    <w:rsid w:val="0007417B"/>
    <w:rsid w:val="0007435C"/>
    <w:rsid w:val="000744B1"/>
    <w:rsid w:val="00074518"/>
    <w:rsid w:val="000745F9"/>
    <w:rsid w:val="00074A26"/>
    <w:rsid w:val="00074A79"/>
    <w:rsid w:val="00074E9A"/>
    <w:rsid w:val="000750E0"/>
    <w:rsid w:val="0007551A"/>
    <w:rsid w:val="00075AA9"/>
    <w:rsid w:val="00075D24"/>
    <w:rsid w:val="0007608E"/>
    <w:rsid w:val="00076139"/>
    <w:rsid w:val="000766A4"/>
    <w:rsid w:val="000767BD"/>
    <w:rsid w:val="000768BB"/>
    <w:rsid w:val="00076C34"/>
    <w:rsid w:val="00076F2D"/>
    <w:rsid w:val="0007783D"/>
    <w:rsid w:val="000779E2"/>
    <w:rsid w:val="00077B51"/>
    <w:rsid w:val="00077CCA"/>
    <w:rsid w:val="00080012"/>
    <w:rsid w:val="000803A5"/>
    <w:rsid w:val="00080802"/>
    <w:rsid w:val="00080EBC"/>
    <w:rsid w:val="00081075"/>
    <w:rsid w:val="000819CB"/>
    <w:rsid w:val="00081A1C"/>
    <w:rsid w:val="00081B28"/>
    <w:rsid w:val="000823A8"/>
    <w:rsid w:val="00082515"/>
    <w:rsid w:val="0008263C"/>
    <w:rsid w:val="00082C7D"/>
    <w:rsid w:val="00083431"/>
    <w:rsid w:val="00083562"/>
    <w:rsid w:val="000838BB"/>
    <w:rsid w:val="00083EB8"/>
    <w:rsid w:val="0008457A"/>
    <w:rsid w:val="000845BC"/>
    <w:rsid w:val="000845CD"/>
    <w:rsid w:val="0008536F"/>
    <w:rsid w:val="00085570"/>
    <w:rsid w:val="000856D2"/>
    <w:rsid w:val="000856E7"/>
    <w:rsid w:val="000865B9"/>
    <w:rsid w:val="00086793"/>
    <w:rsid w:val="000867F0"/>
    <w:rsid w:val="00086C9E"/>
    <w:rsid w:val="000874A6"/>
    <w:rsid w:val="0008767B"/>
    <w:rsid w:val="00087D63"/>
    <w:rsid w:val="00090427"/>
    <w:rsid w:val="00090437"/>
    <w:rsid w:val="00090CA2"/>
    <w:rsid w:val="00090D19"/>
    <w:rsid w:val="0009152A"/>
    <w:rsid w:val="0009168A"/>
    <w:rsid w:val="000919AC"/>
    <w:rsid w:val="00091AD1"/>
    <w:rsid w:val="00092408"/>
    <w:rsid w:val="00092428"/>
    <w:rsid w:val="00092589"/>
    <w:rsid w:val="000929DF"/>
    <w:rsid w:val="00093112"/>
    <w:rsid w:val="00093135"/>
    <w:rsid w:val="000931D0"/>
    <w:rsid w:val="00093245"/>
    <w:rsid w:val="00093699"/>
    <w:rsid w:val="00093760"/>
    <w:rsid w:val="00093F51"/>
    <w:rsid w:val="000946D3"/>
    <w:rsid w:val="0009486D"/>
    <w:rsid w:val="00094CBF"/>
    <w:rsid w:val="00095225"/>
    <w:rsid w:val="000965F9"/>
    <w:rsid w:val="00096685"/>
    <w:rsid w:val="00096758"/>
    <w:rsid w:val="0009687E"/>
    <w:rsid w:val="00096A0D"/>
    <w:rsid w:val="00096AE7"/>
    <w:rsid w:val="00096B31"/>
    <w:rsid w:val="00096B6F"/>
    <w:rsid w:val="00097714"/>
    <w:rsid w:val="00097D58"/>
    <w:rsid w:val="000A00D8"/>
    <w:rsid w:val="000A01E4"/>
    <w:rsid w:val="000A037D"/>
    <w:rsid w:val="000A03AA"/>
    <w:rsid w:val="000A04EB"/>
    <w:rsid w:val="000A05DA"/>
    <w:rsid w:val="000A0609"/>
    <w:rsid w:val="000A0787"/>
    <w:rsid w:val="000A082E"/>
    <w:rsid w:val="000A0868"/>
    <w:rsid w:val="000A0965"/>
    <w:rsid w:val="000A0A19"/>
    <w:rsid w:val="000A0C78"/>
    <w:rsid w:val="000A0FE2"/>
    <w:rsid w:val="000A19D8"/>
    <w:rsid w:val="000A19ED"/>
    <w:rsid w:val="000A1DF9"/>
    <w:rsid w:val="000A22B5"/>
    <w:rsid w:val="000A29F3"/>
    <w:rsid w:val="000A2E06"/>
    <w:rsid w:val="000A33CA"/>
    <w:rsid w:val="000A37FF"/>
    <w:rsid w:val="000A3FBD"/>
    <w:rsid w:val="000A40A2"/>
    <w:rsid w:val="000A4635"/>
    <w:rsid w:val="000A482F"/>
    <w:rsid w:val="000A4A03"/>
    <w:rsid w:val="000A5077"/>
    <w:rsid w:val="000A51F5"/>
    <w:rsid w:val="000A5429"/>
    <w:rsid w:val="000A57F6"/>
    <w:rsid w:val="000A5864"/>
    <w:rsid w:val="000A5BD5"/>
    <w:rsid w:val="000A5CCB"/>
    <w:rsid w:val="000A6272"/>
    <w:rsid w:val="000A62C5"/>
    <w:rsid w:val="000A6489"/>
    <w:rsid w:val="000A65DD"/>
    <w:rsid w:val="000A6D0D"/>
    <w:rsid w:val="000A6F22"/>
    <w:rsid w:val="000A7099"/>
    <w:rsid w:val="000A7530"/>
    <w:rsid w:val="000A7A83"/>
    <w:rsid w:val="000A7C5D"/>
    <w:rsid w:val="000B07E6"/>
    <w:rsid w:val="000B0ACD"/>
    <w:rsid w:val="000B0B50"/>
    <w:rsid w:val="000B1C18"/>
    <w:rsid w:val="000B1C69"/>
    <w:rsid w:val="000B1D19"/>
    <w:rsid w:val="000B1F7A"/>
    <w:rsid w:val="000B20F9"/>
    <w:rsid w:val="000B2474"/>
    <w:rsid w:val="000B2612"/>
    <w:rsid w:val="000B2B06"/>
    <w:rsid w:val="000B3124"/>
    <w:rsid w:val="000B315E"/>
    <w:rsid w:val="000B3608"/>
    <w:rsid w:val="000B3941"/>
    <w:rsid w:val="000B40B4"/>
    <w:rsid w:val="000B416B"/>
    <w:rsid w:val="000B4185"/>
    <w:rsid w:val="000B44CA"/>
    <w:rsid w:val="000B46F6"/>
    <w:rsid w:val="000B4A79"/>
    <w:rsid w:val="000B4F4E"/>
    <w:rsid w:val="000B4F83"/>
    <w:rsid w:val="000B526F"/>
    <w:rsid w:val="000B53D0"/>
    <w:rsid w:val="000B5747"/>
    <w:rsid w:val="000B58BF"/>
    <w:rsid w:val="000B622A"/>
    <w:rsid w:val="000B635F"/>
    <w:rsid w:val="000B6552"/>
    <w:rsid w:val="000B699B"/>
    <w:rsid w:val="000B6D2E"/>
    <w:rsid w:val="000B7563"/>
    <w:rsid w:val="000B794C"/>
    <w:rsid w:val="000B7B64"/>
    <w:rsid w:val="000B7CE0"/>
    <w:rsid w:val="000C03E2"/>
    <w:rsid w:val="000C047B"/>
    <w:rsid w:val="000C0872"/>
    <w:rsid w:val="000C0A1B"/>
    <w:rsid w:val="000C0FC8"/>
    <w:rsid w:val="000C13FE"/>
    <w:rsid w:val="000C142C"/>
    <w:rsid w:val="000C1AEE"/>
    <w:rsid w:val="000C1DD0"/>
    <w:rsid w:val="000C1FEA"/>
    <w:rsid w:val="000C2211"/>
    <w:rsid w:val="000C23C8"/>
    <w:rsid w:val="000C289A"/>
    <w:rsid w:val="000C2FD8"/>
    <w:rsid w:val="000C3374"/>
    <w:rsid w:val="000C35FA"/>
    <w:rsid w:val="000C39DB"/>
    <w:rsid w:val="000C5056"/>
    <w:rsid w:val="000C52FA"/>
    <w:rsid w:val="000C53EE"/>
    <w:rsid w:val="000C5931"/>
    <w:rsid w:val="000C5C89"/>
    <w:rsid w:val="000C6FE2"/>
    <w:rsid w:val="000C7532"/>
    <w:rsid w:val="000D0162"/>
    <w:rsid w:val="000D09B6"/>
    <w:rsid w:val="000D1BDD"/>
    <w:rsid w:val="000D1E2B"/>
    <w:rsid w:val="000D1E7F"/>
    <w:rsid w:val="000D1F2E"/>
    <w:rsid w:val="000D2308"/>
    <w:rsid w:val="000D2377"/>
    <w:rsid w:val="000D25CD"/>
    <w:rsid w:val="000D27F5"/>
    <w:rsid w:val="000D2900"/>
    <w:rsid w:val="000D2904"/>
    <w:rsid w:val="000D2C32"/>
    <w:rsid w:val="000D2F29"/>
    <w:rsid w:val="000D306B"/>
    <w:rsid w:val="000D3691"/>
    <w:rsid w:val="000D39F4"/>
    <w:rsid w:val="000D3B98"/>
    <w:rsid w:val="000D3BD7"/>
    <w:rsid w:val="000D3FE5"/>
    <w:rsid w:val="000D4689"/>
    <w:rsid w:val="000D46C5"/>
    <w:rsid w:val="000D4A50"/>
    <w:rsid w:val="000D4BD5"/>
    <w:rsid w:val="000D4DC5"/>
    <w:rsid w:val="000D5310"/>
    <w:rsid w:val="000D54D0"/>
    <w:rsid w:val="000D5A83"/>
    <w:rsid w:val="000D5DE4"/>
    <w:rsid w:val="000D5ECC"/>
    <w:rsid w:val="000D63C6"/>
    <w:rsid w:val="000D6A54"/>
    <w:rsid w:val="000D6BEC"/>
    <w:rsid w:val="000D7758"/>
    <w:rsid w:val="000E04C2"/>
    <w:rsid w:val="000E08A8"/>
    <w:rsid w:val="000E0A2A"/>
    <w:rsid w:val="000E0A70"/>
    <w:rsid w:val="000E0D2A"/>
    <w:rsid w:val="000E0DDB"/>
    <w:rsid w:val="000E0F67"/>
    <w:rsid w:val="000E1156"/>
    <w:rsid w:val="000E144D"/>
    <w:rsid w:val="000E14A7"/>
    <w:rsid w:val="000E1A75"/>
    <w:rsid w:val="000E1AC5"/>
    <w:rsid w:val="000E23FE"/>
    <w:rsid w:val="000E25B3"/>
    <w:rsid w:val="000E25C1"/>
    <w:rsid w:val="000E2651"/>
    <w:rsid w:val="000E2F73"/>
    <w:rsid w:val="000E32E9"/>
    <w:rsid w:val="000E3406"/>
    <w:rsid w:val="000E37BA"/>
    <w:rsid w:val="000E3E76"/>
    <w:rsid w:val="000E492C"/>
    <w:rsid w:val="000E4E2F"/>
    <w:rsid w:val="000E4E3B"/>
    <w:rsid w:val="000E587B"/>
    <w:rsid w:val="000E5E87"/>
    <w:rsid w:val="000E5F75"/>
    <w:rsid w:val="000E6228"/>
    <w:rsid w:val="000E6751"/>
    <w:rsid w:val="000E7FCC"/>
    <w:rsid w:val="000F008C"/>
    <w:rsid w:val="000F03CD"/>
    <w:rsid w:val="000F0BCE"/>
    <w:rsid w:val="000F0CCB"/>
    <w:rsid w:val="000F0E21"/>
    <w:rsid w:val="000F0FC5"/>
    <w:rsid w:val="000F13BB"/>
    <w:rsid w:val="000F183A"/>
    <w:rsid w:val="000F1A2F"/>
    <w:rsid w:val="000F1C07"/>
    <w:rsid w:val="000F1F37"/>
    <w:rsid w:val="000F25B9"/>
    <w:rsid w:val="000F2A88"/>
    <w:rsid w:val="000F2E81"/>
    <w:rsid w:val="000F3251"/>
    <w:rsid w:val="000F34C0"/>
    <w:rsid w:val="000F3591"/>
    <w:rsid w:val="000F3830"/>
    <w:rsid w:val="000F3A85"/>
    <w:rsid w:val="000F3AF4"/>
    <w:rsid w:val="000F3D3A"/>
    <w:rsid w:val="000F4166"/>
    <w:rsid w:val="000F42E5"/>
    <w:rsid w:val="000F430E"/>
    <w:rsid w:val="000F432D"/>
    <w:rsid w:val="000F46E9"/>
    <w:rsid w:val="000F496C"/>
    <w:rsid w:val="000F4C0F"/>
    <w:rsid w:val="000F4C51"/>
    <w:rsid w:val="000F51E6"/>
    <w:rsid w:val="000F53FF"/>
    <w:rsid w:val="000F566C"/>
    <w:rsid w:val="000F568B"/>
    <w:rsid w:val="000F5FC3"/>
    <w:rsid w:val="000F6830"/>
    <w:rsid w:val="000F69D2"/>
    <w:rsid w:val="000F6E9B"/>
    <w:rsid w:val="000F72CF"/>
    <w:rsid w:val="000F7FF4"/>
    <w:rsid w:val="001004B8"/>
    <w:rsid w:val="00100584"/>
    <w:rsid w:val="0010078D"/>
    <w:rsid w:val="0010094A"/>
    <w:rsid w:val="00101157"/>
    <w:rsid w:val="00101801"/>
    <w:rsid w:val="00101D42"/>
    <w:rsid w:val="00101EDE"/>
    <w:rsid w:val="001020FD"/>
    <w:rsid w:val="00102912"/>
    <w:rsid w:val="001029AA"/>
    <w:rsid w:val="00102BAD"/>
    <w:rsid w:val="001030CE"/>
    <w:rsid w:val="0010330C"/>
    <w:rsid w:val="00103B7E"/>
    <w:rsid w:val="00103C86"/>
    <w:rsid w:val="00103CC1"/>
    <w:rsid w:val="00103F0F"/>
    <w:rsid w:val="001045AF"/>
    <w:rsid w:val="001048BE"/>
    <w:rsid w:val="00104AFD"/>
    <w:rsid w:val="00104D09"/>
    <w:rsid w:val="00105C9B"/>
    <w:rsid w:val="00105EC5"/>
    <w:rsid w:val="00105FBD"/>
    <w:rsid w:val="00106829"/>
    <w:rsid w:val="0010699D"/>
    <w:rsid w:val="00106D24"/>
    <w:rsid w:val="00106DFB"/>
    <w:rsid w:val="00106FF9"/>
    <w:rsid w:val="00107085"/>
    <w:rsid w:val="001070C5"/>
    <w:rsid w:val="00107552"/>
    <w:rsid w:val="0010767A"/>
    <w:rsid w:val="00107718"/>
    <w:rsid w:val="00107840"/>
    <w:rsid w:val="00107B47"/>
    <w:rsid w:val="00107C0B"/>
    <w:rsid w:val="00107EC5"/>
    <w:rsid w:val="0011041F"/>
    <w:rsid w:val="001105CC"/>
    <w:rsid w:val="00110B81"/>
    <w:rsid w:val="00110C66"/>
    <w:rsid w:val="00110EE4"/>
    <w:rsid w:val="00111009"/>
    <w:rsid w:val="00111182"/>
    <w:rsid w:val="001113C0"/>
    <w:rsid w:val="001117C0"/>
    <w:rsid w:val="001117C4"/>
    <w:rsid w:val="00111D5A"/>
    <w:rsid w:val="00111E7E"/>
    <w:rsid w:val="00111FA7"/>
    <w:rsid w:val="00112655"/>
    <w:rsid w:val="00112C25"/>
    <w:rsid w:val="00113639"/>
    <w:rsid w:val="00113835"/>
    <w:rsid w:val="0011383C"/>
    <w:rsid w:val="00113A68"/>
    <w:rsid w:val="00113B81"/>
    <w:rsid w:val="00113F72"/>
    <w:rsid w:val="001140F1"/>
    <w:rsid w:val="00114212"/>
    <w:rsid w:val="0011494C"/>
    <w:rsid w:val="00114CF3"/>
    <w:rsid w:val="00114D27"/>
    <w:rsid w:val="00115173"/>
    <w:rsid w:val="00115A92"/>
    <w:rsid w:val="001160EE"/>
    <w:rsid w:val="001165C8"/>
    <w:rsid w:val="00116661"/>
    <w:rsid w:val="00116A58"/>
    <w:rsid w:val="00116CAB"/>
    <w:rsid w:val="00116DBF"/>
    <w:rsid w:val="00117525"/>
    <w:rsid w:val="0011768A"/>
    <w:rsid w:val="001202EA"/>
    <w:rsid w:val="00120487"/>
    <w:rsid w:val="001205C5"/>
    <w:rsid w:val="001207E2"/>
    <w:rsid w:val="00120843"/>
    <w:rsid w:val="00120981"/>
    <w:rsid w:val="00121352"/>
    <w:rsid w:val="00121814"/>
    <w:rsid w:val="00121E8B"/>
    <w:rsid w:val="00122905"/>
    <w:rsid w:val="0012294C"/>
    <w:rsid w:val="0012298B"/>
    <w:rsid w:val="00122A39"/>
    <w:rsid w:val="00122F0A"/>
    <w:rsid w:val="00122F9C"/>
    <w:rsid w:val="00123112"/>
    <w:rsid w:val="001231BF"/>
    <w:rsid w:val="00123307"/>
    <w:rsid w:val="001234F4"/>
    <w:rsid w:val="001236D2"/>
    <w:rsid w:val="00123BC8"/>
    <w:rsid w:val="001244C8"/>
    <w:rsid w:val="0012486C"/>
    <w:rsid w:val="00124923"/>
    <w:rsid w:val="00124A90"/>
    <w:rsid w:val="00124CF2"/>
    <w:rsid w:val="00124E2B"/>
    <w:rsid w:val="00125014"/>
    <w:rsid w:val="00125374"/>
    <w:rsid w:val="00125629"/>
    <w:rsid w:val="0012627A"/>
    <w:rsid w:val="00126308"/>
    <w:rsid w:val="00126C3C"/>
    <w:rsid w:val="001277F9"/>
    <w:rsid w:val="00127C53"/>
    <w:rsid w:val="0013006C"/>
    <w:rsid w:val="001300E2"/>
    <w:rsid w:val="001303A6"/>
    <w:rsid w:val="00130AB8"/>
    <w:rsid w:val="00130B36"/>
    <w:rsid w:val="00131746"/>
    <w:rsid w:val="0013181D"/>
    <w:rsid w:val="00131C55"/>
    <w:rsid w:val="00131CA4"/>
    <w:rsid w:val="0013225C"/>
    <w:rsid w:val="001327A3"/>
    <w:rsid w:val="001327E6"/>
    <w:rsid w:val="00132962"/>
    <w:rsid w:val="001329B5"/>
    <w:rsid w:val="00133C54"/>
    <w:rsid w:val="001341DC"/>
    <w:rsid w:val="001342A3"/>
    <w:rsid w:val="0013466D"/>
    <w:rsid w:val="001346CF"/>
    <w:rsid w:val="001346E6"/>
    <w:rsid w:val="00134DA1"/>
    <w:rsid w:val="00135122"/>
    <w:rsid w:val="001352B7"/>
    <w:rsid w:val="001356CF"/>
    <w:rsid w:val="0013589D"/>
    <w:rsid w:val="00136285"/>
    <w:rsid w:val="00136371"/>
    <w:rsid w:val="0013689D"/>
    <w:rsid w:val="00137E94"/>
    <w:rsid w:val="0014023E"/>
    <w:rsid w:val="00141078"/>
    <w:rsid w:val="00141303"/>
    <w:rsid w:val="001413A4"/>
    <w:rsid w:val="00141539"/>
    <w:rsid w:val="001420DA"/>
    <w:rsid w:val="0014229D"/>
    <w:rsid w:val="001422F5"/>
    <w:rsid w:val="00142304"/>
    <w:rsid w:val="00142402"/>
    <w:rsid w:val="00142BFC"/>
    <w:rsid w:val="00143814"/>
    <w:rsid w:val="00144124"/>
    <w:rsid w:val="00144358"/>
    <w:rsid w:val="00144657"/>
    <w:rsid w:val="00145455"/>
    <w:rsid w:val="00145493"/>
    <w:rsid w:val="001454D0"/>
    <w:rsid w:val="00145D22"/>
    <w:rsid w:val="001461BD"/>
    <w:rsid w:val="001464DC"/>
    <w:rsid w:val="0014772D"/>
    <w:rsid w:val="0014786C"/>
    <w:rsid w:val="00147AB3"/>
    <w:rsid w:val="00147D7F"/>
    <w:rsid w:val="00150069"/>
    <w:rsid w:val="001502CC"/>
    <w:rsid w:val="00150969"/>
    <w:rsid w:val="0015152E"/>
    <w:rsid w:val="00151F97"/>
    <w:rsid w:val="00152855"/>
    <w:rsid w:val="00152D57"/>
    <w:rsid w:val="001531A9"/>
    <w:rsid w:val="0015329F"/>
    <w:rsid w:val="00153A7D"/>
    <w:rsid w:val="00153C57"/>
    <w:rsid w:val="00153F73"/>
    <w:rsid w:val="00154107"/>
    <w:rsid w:val="001543AF"/>
    <w:rsid w:val="001545A8"/>
    <w:rsid w:val="00154AAF"/>
    <w:rsid w:val="00154EF6"/>
    <w:rsid w:val="0015516C"/>
    <w:rsid w:val="0015551B"/>
    <w:rsid w:val="00155A5B"/>
    <w:rsid w:val="00155AD3"/>
    <w:rsid w:val="001560E5"/>
    <w:rsid w:val="001562FC"/>
    <w:rsid w:val="00156A5E"/>
    <w:rsid w:val="00156E03"/>
    <w:rsid w:val="00157143"/>
    <w:rsid w:val="00157289"/>
    <w:rsid w:val="0015764F"/>
    <w:rsid w:val="0015796F"/>
    <w:rsid w:val="0016000D"/>
    <w:rsid w:val="00160662"/>
    <w:rsid w:val="00160820"/>
    <w:rsid w:val="00161111"/>
    <w:rsid w:val="0016123C"/>
    <w:rsid w:val="001615B4"/>
    <w:rsid w:val="00161B8F"/>
    <w:rsid w:val="001620E8"/>
    <w:rsid w:val="001623FB"/>
    <w:rsid w:val="00162A64"/>
    <w:rsid w:val="00162E9A"/>
    <w:rsid w:val="0016315D"/>
    <w:rsid w:val="00163486"/>
    <w:rsid w:val="00163923"/>
    <w:rsid w:val="00163C89"/>
    <w:rsid w:val="00163ED1"/>
    <w:rsid w:val="00163F2C"/>
    <w:rsid w:val="00163FB0"/>
    <w:rsid w:val="00164100"/>
    <w:rsid w:val="00164169"/>
    <w:rsid w:val="00164495"/>
    <w:rsid w:val="001647EF"/>
    <w:rsid w:val="00164840"/>
    <w:rsid w:val="00164BC4"/>
    <w:rsid w:val="001653FD"/>
    <w:rsid w:val="00165742"/>
    <w:rsid w:val="0016597C"/>
    <w:rsid w:val="001660F5"/>
    <w:rsid w:val="00166213"/>
    <w:rsid w:val="00166235"/>
    <w:rsid w:val="001663FC"/>
    <w:rsid w:val="0016705D"/>
    <w:rsid w:val="001670B9"/>
    <w:rsid w:val="0016785F"/>
    <w:rsid w:val="00167A98"/>
    <w:rsid w:val="00167D7D"/>
    <w:rsid w:val="00170233"/>
    <w:rsid w:val="0017086C"/>
    <w:rsid w:val="001708B1"/>
    <w:rsid w:val="001708EE"/>
    <w:rsid w:val="00170CF9"/>
    <w:rsid w:val="00171254"/>
    <w:rsid w:val="0017144B"/>
    <w:rsid w:val="00171A9C"/>
    <w:rsid w:val="0017212F"/>
    <w:rsid w:val="00172301"/>
    <w:rsid w:val="0017235D"/>
    <w:rsid w:val="001724A6"/>
    <w:rsid w:val="00172885"/>
    <w:rsid w:val="001731E6"/>
    <w:rsid w:val="00173713"/>
    <w:rsid w:val="00173B43"/>
    <w:rsid w:val="00173BE9"/>
    <w:rsid w:val="00173C69"/>
    <w:rsid w:val="00173D53"/>
    <w:rsid w:val="00173EFC"/>
    <w:rsid w:val="001745B1"/>
    <w:rsid w:val="00174C21"/>
    <w:rsid w:val="00174ECA"/>
    <w:rsid w:val="001750F7"/>
    <w:rsid w:val="001755AF"/>
    <w:rsid w:val="001758F2"/>
    <w:rsid w:val="00176039"/>
    <w:rsid w:val="00176044"/>
    <w:rsid w:val="001760DE"/>
    <w:rsid w:val="0017637A"/>
    <w:rsid w:val="0017669A"/>
    <w:rsid w:val="00176817"/>
    <w:rsid w:val="001768B1"/>
    <w:rsid w:val="00176A8C"/>
    <w:rsid w:val="00176BC9"/>
    <w:rsid w:val="00176D96"/>
    <w:rsid w:val="00177151"/>
    <w:rsid w:val="00177A1B"/>
    <w:rsid w:val="00180DDA"/>
    <w:rsid w:val="0018148A"/>
    <w:rsid w:val="001814EA"/>
    <w:rsid w:val="00181AF0"/>
    <w:rsid w:val="00182306"/>
    <w:rsid w:val="00182BA7"/>
    <w:rsid w:val="00182BB0"/>
    <w:rsid w:val="00182E59"/>
    <w:rsid w:val="00183012"/>
    <w:rsid w:val="00183307"/>
    <w:rsid w:val="00183370"/>
    <w:rsid w:val="0018355F"/>
    <w:rsid w:val="00183839"/>
    <w:rsid w:val="00183BF7"/>
    <w:rsid w:val="00183EF4"/>
    <w:rsid w:val="0018438E"/>
    <w:rsid w:val="0018441C"/>
    <w:rsid w:val="0018454F"/>
    <w:rsid w:val="001847F5"/>
    <w:rsid w:val="00184AD8"/>
    <w:rsid w:val="001852B3"/>
    <w:rsid w:val="00185803"/>
    <w:rsid w:val="00185E68"/>
    <w:rsid w:val="001861F1"/>
    <w:rsid w:val="00186369"/>
    <w:rsid w:val="001864C5"/>
    <w:rsid w:val="001864F0"/>
    <w:rsid w:val="00186761"/>
    <w:rsid w:val="001871E1"/>
    <w:rsid w:val="00187803"/>
    <w:rsid w:val="0018791E"/>
    <w:rsid w:val="00187934"/>
    <w:rsid w:val="00187953"/>
    <w:rsid w:val="00187A92"/>
    <w:rsid w:val="0019036D"/>
    <w:rsid w:val="001903DE"/>
    <w:rsid w:val="00190870"/>
    <w:rsid w:val="00190A82"/>
    <w:rsid w:val="00190C21"/>
    <w:rsid w:val="001912B2"/>
    <w:rsid w:val="0019150C"/>
    <w:rsid w:val="001915CD"/>
    <w:rsid w:val="00191600"/>
    <w:rsid w:val="00191DB9"/>
    <w:rsid w:val="001924C6"/>
    <w:rsid w:val="00192AE3"/>
    <w:rsid w:val="00193576"/>
    <w:rsid w:val="00193EFA"/>
    <w:rsid w:val="00194BF3"/>
    <w:rsid w:val="00194F9B"/>
    <w:rsid w:val="001954FE"/>
    <w:rsid w:val="0019564A"/>
    <w:rsid w:val="0019598F"/>
    <w:rsid w:val="001959EA"/>
    <w:rsid w:val="00195E25"/>
    <w:rsid w:val="00196AA8"/>
    <w:rsid w:val="00196C32"/>
    <w:rsid w:val="00196FA7"/>
    <w:rsid w:val="001978B8"/>
    <w:rsid w:val="001978D7"/>
    <w:rsid w:val="00197B8A"/>
    <w:rsid w:val="00197E44"/>
    <w:rsid w:val="001A0154"/>
    <w:rsid w:val="001A08DF"/>
    <w:rsid w:val="001A0ADD"/>
    <w:rsid w:val="001A0CB5"/>
    <w:rsid w:val="001A0F2A"/>
    <w:rsid w:val="001A13A1"/>
    <w:rsid w:val="001A156E"/>
    <w:rsid w:val="001A1B75"/>
    <w:rsid w:val="001A1D41"/>
    <w:rsid w:val="001A1E26"/>
    <w:rsid w:val="001A2660"/>
    <w:rsid w:val="001A2E87"/>
    <w:rsid w:val="001A2F2B"/>
    <w:rsid w:val="001A39B3"/>
    <w:rsid w:val="001A3AD2"/>
    <w:rsid w:val="001A3C8D"/>
    <w:rsid w:val="001A420B"/>
    <w:rsid w:val="001A430F"/>
    <w:rsid w:val="001A432C"/>
    <w:rsid w:val="001A4EB5"/>
    <w:rsid w:val="001A562A"/>
    <w:rsid w:val="001A5BE9"/>
    <w:rsid w:val="001A69F1"/>
    <w:rsid w:val="001A6CA6"/>
    <w:rsid w:val="001A6E30"/>
    <w:rsid w:val="001A6ED9"/>
    <w:rsid w:val="001A705E"/>
    <w:rsid w:val="001A7378"/>
    <w:rsid w:val="001A73C8"/>
    <w:rsid w:val="001A78B6"/>
    <w:rsid w:val="001A7BF4"/>
    <w:rsid w:val="001A7CB1"/>
    <w:rsid w:val="001A7D0C"/>
    <w:rsid w:val="001B0683"/>
    <w:rsid w:val="001B069A"/>
    <w:rsid w:val="001B0A08"/>
    <w:rsid w:val="001B0B35"/>
    <w:rsid w:val="001B0C2E"/>
    <w:rsid w:val="001B0C8F"/>
    <w:rsid w:val="001B0D62"/>
    <w:rsid w:val="001B11A3"/>
    <w:rsid w:val="001B175A"/>
    <w:rsid w:val="001B1A53"/>
    <w:rsid w:val="001B1DF1"/>
    <w:rsid w:val="001B21B7"/>
    <w:rsid w:val="001B32F5"/>
    <w:rsid w:val="001B3A73"/>
    <w:rsid w:val="001B3C80"/>
    <w:rsid w:val="001B3FEA"/>
    <w:rsid w:val="001B411D"/>
    <w:rsid w:val="001B43D8"/>
    <w:rsid w:val="001B44C1"/>
    <w:rsid w:val="001B45E2"/>
    <w:rsid w:val="001B45EA"/>
    <w:rsid w:val="001B4EAE"/>
    <w:rsid w:val="001B5726"/>
    <w:rsid w:val="001B59AA"/>
    <w:rsid w:val="001B5E48"/>
    <w:rsid w:val="001B6065"/>
    <w:rsid w:val="001B64E8"/>
    <w:rsid w:val="001B694B"/>
    <w:rsid w:val="001B6952"/>
    <w:rsid w:val="001B6A57"/>
    <w:rsid w:val="001B6B83"/>
    <w:rsid w:val="001B7067"/>
    <w:rsid w:val="001B7404"/>
    <w:rsid w:val="001B7A64"/>
    <w:rsid w:val="001C01FB"/>
    <w:rsid w:val="001C128F"/>
    <w:rsid w:val="001C183C"/>
    <w:rsid w:val="001C1D70"/>
    <w:rsid w:val="001C2932"/>
    <w:rsid w:val="001C2CE4"/>
    <w:rsid w:val="001C2F2D"/>
    <w:rsid w:val="001C300B"/>
    <w:rsid w:val="001C3117"/>
    <w:rsid w:val="001C31E8"/>
    <w:rsid w:val="001C348A"/>
    <w:rsid w:val="001C3984"/>
    <w:rsid w:val="001C3BD1"/>
    <w:rsid w:val="001C3EAD"/>
    <w:rsid w:val="001C4489"/>
    <w:rsid w:val="001C4ED6"/>
    <w:rsid w:val="001C5074"/>
    <w:rsid w:val="001C50AF"/>
    <w:rsid w:val="001C5406"/>
    <w:rsid w:val="001C5510"/>
    <w:rsid w:val="001C553E"/>
    <w:rsid w:val="001C5880"/>
    <w:rsid w:val="001C596F"/>
    <w:rsid w:val="001C59D2"/>
    <w:rsid w:val="001C5C19"/>
    <w:rsid w:val="001C5E39"/>
    <w:rsid w:val="001C60E4"/>
    <w:rsid w:val="001C6566"/>
    <w:rsid w:val="001C672F"/>
    <w:rsid w:val="001C68C5"/>
    <w:rsid w:val="001C6AB6"/>
    <w:rsid w:val="001C6E06"/>
    <w:rsid w:val="001C6E26"/>
    <w:rsid w:val="001C7570"/>
    <w:rsid w:val="001C76AF"/>
    <w:rsid w:val="001D04C5"/>
    <w:rsid w:val="001D0817"/>
    <w:rsid w:val="001D0A4F"/>
    <w:rsid w:val="001D0FB7"/>
    <w:rsid w:val="001D1129"/>
    <w:rsid w:val="001D183D"/>
    <w:rsid w:val="001D1A13"/>
    <w:rsid w:val="001D1B3B"/>
    <w:rsid w:val="001D2491"/>
    <w:rsid w:val="001D2661"/>
    <w:rsid w:val="001D28D7"/>
    <w:rsid w:val="001D296F"/>
    <w:rsid w:val="001D29DE"/>
    <w:rsid w:val="001D2F4D"/>
    <w:rsid w:val="001D2F5D"/>
    <w:rsid w:val="001D3342"/>
    <w:rsid w:val="001D353F"/>
    <w:rsid w:val="001D3881"/>
    <w:rsid w:val="001D46E0"/>
    <w:rsid w:val="001D4D0F"/>
    <w:rsid w:val="001D51BE"/>
    <w:rsid w:val="001D535E"/>
    <w:rsid w:val="001D5490"/>
    <w:rsid w:val="001D5F8D"/>
    <w:rsid w:val="001D6111"/>
    <w:rsid w:val="001D64DC"/>
    <w:rsid w:val="001D6639"/>
    <w:rsid w:val="001D6FAE"/>
    <w:rsid w:val="001D70CD"/>
    <w:rsid w:val="001D7196"/>
    <w:rsid w:val="001D73B4"/>
    <w:rsid w:val="001D7545"/>
    <w:rsid w:val="001D78AA"/>
    <w:rsid w:val="001D7FEF"/>
    <w:rsid w:val="001E0013"/>
    <w:rsid w:val="001E074D"/>
    <w:rsid w:val="001E0788"/>
    <w:rsid w:val="001E2148"/>
    <w:rsid w:val="001E267C"/>
    <w:rsid w:val="001E3B28"/>
    <w:rsid w:val="001E3E55"/>
    <w:rsid w:val="001E40D5"/>
    <w:rsid w:val="001E459F"/>
    <w:rsid w:val="001E4CD7"/>
    <w:rsid w:val="001E4F8E"/>
    <w:rsid w:val="001E584A"/>
    <w:rsid w:val="001E5A0E"/>
    <w:rsid w:val="001E5B61"/>
    <w:rsid w:val="001E5D9D"/>
    <w:rsid w:val="001E668C"/>
    <w:rsid w:val="001E6ABC"/>
    <w:rsid w:val="001E6BD4"/>
    <w:rsid w:val="001E7134"/>
    <w:rsid w:val="001E78BB"/>
    <w:rsid w:val="001E7954"/>
    <w:rsid w:val="001E7C6F"/>
    <w:rsid w:val="001F0002"/>
    <w:rsid w:val="001F03F9"/>
    <w:rsid w:val="001F116E"/>
    <w:rsid w:val="001F1DB9"/>
    <w:rsid w:val="001F1F3C"/>
    <w:rsid w:val="001F20AB"/>
    <w:rsid w:val="001F261D"/>
    <w:rsid w:val="001F27FA"/>
    <w:rsid w:val="001F33C5"/>
    <w:rsid w:val="001F3652"/>
    <w:rsid w:val="001F392D"/>
    <w:rsid w:val="001F3CFB"/>
    <w:rsid w:val="001F4013"/>
    <w:rsid w:val="001F4063"/>
    <w:rsid w:val="001F4203"/>
    <w:rsid w:val="001F421B"/>
    <w:rsid w:val="001F49AC"/>
    <w:rsid w:val="001F49C8"/>
    <w:rsid w:val="001F4EFB"/>
    <w:rsid w:val="001F5574"/>
    <w:rsid w:val="001F6106"/>
    <w:rsid w:val="001F6165"/>
    <w:rsid w:val="001F619C"/>
    <w:rsid w:val="001F6610"/>
    <w:rsid w:val="001F66ED"/>
    <w:rsid w:val="001F6709"/>
    <w:rsid w:val="001F6D97"/>
    <w:rsid w:val="001F71FB"/>
    <w:rsid w:val="001F7617"/>
    <w:rsid w:val="001F7A64"/>
    <w:rsid w:val="001F7C98"/>
    <w:rsid w:val="001F7F59"/>
    <w:rsid w:val="001F7FA6"/>
    <w:rsid w:val="00201615"/>
    <w:rsid w:val="0020172F"/>
    <w:rsid w:val="00201FA4"/>
    <w:rsid w:val="00202430"/>
    <w:rsid w:val="002024AA"/>
    <w:rsid w:val="002025AA"/>
    <w:rsid w:val="00203B93"/>
    <w:rsid w:val="00203C88"/>
    <w:rsid w:val="00203DD0"/>
    <w:rsid w:val="00203E18"/>
    <w:rsid w:val="00204168"/>
    <w:rsid w:val="00204ACE"/>
    <w:rsid w:val="00204C9E"/>
    <w:rsid w:val="00204D31"/>
    <w:rsid w:val="00205102"/>
    <w:rsid w:val="002053F4"/>
    <w:rsid w:val="00205A3C"/>
    <w:rsid w:val="00205AA0"/>
    <w:rsid w:val="00205C49"/>
    <w:rsid w:val="00206328"/>
    <w:rsid w:val="002063FB"/>
    <w:rsid w:val="00206486"/>
    <w:rsid w:val="002064C6"/>
    <w:rsid w:val="0020655A"/>
    <w:rsid w:val="00206DC6"/>
    <w:rsid w:val="00206DF2"/>
    <w:rsid w:val="00207E17"/>
    <w:rsid w:val="0021004C"/>
    <w:rsid w:val="002100AD"/>
    <w:rsid w:val="0021017E"/>
    <w:rsid w:val="00210286"/>
    <w:rsid w:val="00210697"/>
    <w:rsid w:val="002107B4"/>
    <w:rsid w:val="00210982"/>
    <w:rsid w:val="00210B34"/>
    <w:rsid w:val="00210B81"/>
    <w:rsid w:val="00211147"/>
    <w:rsid w:val="002111C9"/>
    <w:rsid w:val="0021193C"/>
    <w:rsid w:val="00211AF3"/>
    <w:rsid w:val="00211D90"/>
    <w:rsid w:val="00211F9C"/>
    <w:rsid w:val="00212442"/>
    <w:rsid w:val="00212466"/>
    <w:rsid w:val="00212718"/>
    <w:rsid w:val="00212875"/>
    <w:rsid w:val="00212975"/>
    <w:rsid w:val="00214224"/>
    <w:rsid w:val="00214404"/>
    <w:rsid w:val="002144AB"/>
    <w:rsid w:val="002148AA"/>
    <w:rsid w:val="0021501E"/>
    <w:rsid w:val="002150C5"/>
    <w:rsid w:val="002152DD"/>
    <w:rsid w:val="0021559B"/>
    <w:rsid w:val="002157FF"/>
    <w:rsid w:val="00215EFB"/>
    <w:rsid w:val="0021604B"/>
    <w:rsid w:val="0021699F"/>
    <w:rsid w:val="00216C6D"/>
    <w:rsid w:val="00216D24"/>
    <w:rsid w:val="0021756A"/>
    <w:rsid w:val="0021788E"/>
    <w:rsid w:val="00220001"/>
    <w:rsid w:val="00220222"/>
    <w:rsid w:val="0022049C"/>
    <w:rsid w:val="00220635"/>
    <w:rsid w:val="00220D24"/>
    <w:rsid w:val="002211B5"/>
    <w:rsid w:val="00221513"/>
    <w:rsid w:val="00221A97"/>
    <w:rsid w:val="00221B12"/>
    <w:rsid w:val="00222C89"/>
    <w:rsid w:val="00222D85"/>
    <w:rsid w:val="00223B43"/>
    <w:rsid w:val="00223B8D"/>
    <w:rsid w:val="00223E14"/>
    <w:rsid w:val="00224133"/>
    <w:rsid w:val="002243F7"/>
    <w:rsid w:val="00224408"/>
    <w:rsid w:val="002245F9"/>
    <w:rsid w:val="0022460A"/>
    <w:rsid w:val="00224676"/>
    <w:rsid w:val="00224755"/>
    <w:rsid w:val="002247B3"/>
    <w:rsid w:val="002248CE"/>
    <w:rsid w:val="002248CF"/>
    <w:rsid w:val="0022498B"/>
    <w:rsid w:val="00224AC4"/>
    <w:rsid w:val="00225115"/>
    <w:rsid w:val="00225174"/>
    <w:rsid w:val="002251D7"/>
    <w:rsid w:val="00225D63"/>
    <w:rsid w:val="00225FFB"/>
    <w:rsid w:val="002261F1"/>
    <w:rsid w:val="002269E2"/>
    <w:rsid w:val="00226C3A"/>
    <w:rsid w:val="00226D9A"/>
    <w:rsid w:val="00226F62"/>
    <w:rsid w:val="00226F94"/>
    <w:rsid w:val="00227277"/>
    <w:rsid w:val="00227403"/>
    <w:rsid w:val="002302FF"/>
    <w:rsid w:val="00230651"/>
    <w:rsid w:val="00230C41"/>
    <w:rsid w:val="00230CA6"/>
    <w:rsid w:val="00230E7F"/>
    <w:rsid w:val="00230F24"/>
    <w:rsid w:val="002310A9"/>
    <w:rsid w:val="00231AB1"/>
    <w:rsid w:val="00231C06"/>
    <w:rsid w:val="002321FD"/>
    <w:rsid w:val="0023222C"/>
    <w:rsid w:val="00232348"/>
    <w:rsid w:val="00232355"/>
    <w:rsid w:val="002325E2"/>
    <w:rsid w:val="00232B0C"/>
    <w:rsid w:val="00232B81"/>
    <w:rsid w:val="002337B8"/>
    <w:rsid w:val="00233EE5"/>
    <w:rsid w:val="00234869"/>
    <w:rsid w:val="002349A1"/>
    <w:rsid w:val="00234D6D"/>
    <w:rsid w:val="00235A66"/>
    <w:rsid w:val="00235ACC"/>
    <w:rsid w:val="00236254"/>
    <w:rsid w:val="00237298"/>
    <w:rsid w:val="0023736A"/>
    <w:rsid w:val="00237382"/>
    <w:rsid w:val="00237518"/>
    <w:rsid w:val="002376A1"/>
    <w:rsid w:val="002376ED"/>
    <w:rsid w:val="00237FE7"/>
    <w:rsid w:val="00240CCD"/>
    <w:rsid w:val="0024123B"/>
    <w:rsid w:val="002423B8"/>
    <w:rsid w:val="0024268E"/>
    <w:rsid w:val="0024294B"/>
    <w:rsid w:val="00242AA9"/>
    <w:rsid w:val="00242BD9"/>
    <w:rsid w:val="0024322E"/>
    <w:rsid w:val="0024347A"/>
    <w:rsid w:val="00243DC3"/>
    <w:rsid w:val="00243EDB"/>
    <w:rsid w:val="00244371"/>
    <w:rsid w:val="00244B28"/>
    <w:rsid w:val="00244CA2"/>
    <w:rsid w:val="00244E1D"/>
    <w:rsid w:val="00245115"/>
    <w:rsid w:val="0024547B"/>
    <w:rsid w:val="00245933"/>
    <w:rsid w:val="00245935"/>
    <w:rsid w:val="00245D62"/>
    <w:rsid w:val="002465D3"/>
    <w:rsid w:val="002466F5"/>
    <w:rsid w:val="00246B75"/>
    <w:rsid w:val="00246E67"/>
    <w:rsid w:val="00250110"/>
    <w:rsid w:val="002502D7"/>
    <w:rsid w:val="002504A3"/>
    <w:rsid w:val="002505B3"/>
    <w:rsid w:val="00250780"/>
    <w:rsid w:val="00250D90"/>
    <w:rsid w:val="00250E58"/>
    <w:rsid w:val="00251116"/>
    <w:rsid w:val="00251123"/>
    <w:rsid w:val="00251B29"/>
    <w:rsid w:val="00251BB9"/>
    <w:rsid w:val="00251E39"/>
    <w:rsid w:val="00251EEF"/>
    <w:rsid w:val="002524D2"/>
    <w:rsid w:val="00252D10"/>
    <w:rsid w:val="00253082"/>
    <w:rsid w:val="002530D5"/>
    <w:rsid w:val="002533C6"/>
    <w:rsid w:val="00253B31"/>
    <w:rsid w:val="00254430"/>
    <w:rsid w:val="002547F1"/>
    <w:rsid w:val="00254A66"/>
    <w:rsid w:val="00254F02"/>
    <w:rsid w:val="00255273"/>
    <w:rsid w:val="00255844"/>
    <w:rsid w:val="002558CD"/>
    <w:rsid w:val="00255972"/>
    <w:rsid w:val="002560E9"/>
    <w:rsid w:val="002561CF"/>
    <w:rsid w:val="0025630E"/>
    <w:rsid w:val="00256441"/>
    <w:rsid w:val="0025689A"/>
    <w:rsid w:val="00256BC9"/>
    <w:rsid w:val="00256E14"/>
    <w:rsid w:val="00256F77"/>
    <w:rsid w:val="002571C0"/>
    <w:rsid w:val="0025744A"/>
    <w:rsid w:val="00257899"/>
    <w:rsid w:val="00257DFC"/>
    <w:rsid w:val="00260075"/>
    <w:rsid w:val="00260550"/>
    <w:rsid w:val="00260B90"/>
    <w:rsid w:val="00260DD2"/>
    <w:rsid w:val="00260EA8"/>
    <w:rsid w:val="00262A4B"/>
    <w:rsid w:val="00262A9A"/>
    <w:rsid w:val="00262C7A"/>
    <w:rsid w:val="002630E6"/>
    <w:rsid w:val="00263422"/>
    <w:rsid w:val="002634F0"/>
    <w:rsid w:val="0026355C"/>
    <w:rsid w:val="00263A6F"/>
    <w:rsid w:val="00263BD5"/>
    <w:rsid w:val="00263C2F"/>
    <w:rsid w:val="00263F5A"/>
    <w:rsid w:val="0026403D"/>
    <w:rsid w:val="002648CC"/>
    <w:rsid w:val="00264FC5"/>
    <w:rsid w:val="002652A3"/>
    <w:rsid w:val="00265887"/>
    <w:rsid w:val="00266054"/>
    <w:rsid w:val="002663EC"/>
    <w:rsid w:val="00266976"/>
    <w:rsid w:val="00266BCD"/>
    <w:rsid w:val="00267157"/>
    <w:rsid w:val="00267810"/>
    <w:rsid w:val="00267AC4"/>
    <w:rsid w:val="00267AD7"/>
    <w:rsid w:val="00267CBB"/>
    <w:rsid w:val="00267D61"/>
    <w:rsid w:val="0027008C"/>
    <w:rsid w:val="00270381"/>
    <w:rsid w:val="00270A98"/>
    <w:rsid w:val="00270D77"/>
    <w:rsid w:val="00271147"/>
    <w:rsid w:val="0027130B"/>
    <w:rsid w:val="002714E5"/>
    <w:rsid w:val="00271501"/>
    <w:rsid w:val="00271A30"/>
    <w:rsid w:val="00271CAD"/>
    <w:rsid w:val="002720AC"/>
    <w:rsid w:val="002721AB"/>
    <w:rsid w:val="002724C0"/>
    <w:rsid w:val="002724C8"/>
    <w:rsid w:val="00272544"/>
    <w:rsid w:val="0027298A"/>
    <w:rsid w:val="0027379A"/>
    <w:rsid w:val="00273CCD"/>
    <w:rsid w:val="00273D25"/>
    <w:rsid w:val="00274060"/>
    <w:rsid w:val="00274161"/>
    <w:rsid w:val="00274A09"/>
    <w:rsid w:val="00274A99"/>
    <w:rsid w:val="00274EBE"/>
    <w:rsid w:val="002751BF"/>
    <w:rsid w:val="002754D4"/>
    <w:rsid w:val="00275555"/>
    <w:rsid w:val="00275695"/>
    <w:rsid w:val="00275F44"/>
    <w:rsid w:val="002760E5"/>
    <w:rsid w:val="00276F85"/>
    <w:rsid w:val="002776D3"/>
    <w:rsid w:val="002777B0"/>
    <w:rsid w:val="0027798D"/>
    <w:rsid w:val="00277B75"/>
    <w:rsid w:val="00277BAC"/>
    <w:rsid w:val="002802EE"/>
    <w:rsid w:val="00280A00"/>
    <w:rsid w:val="00280E85"/>
    <w:rsid w:val="00281064"/>
    <w:rsid w:val="002814D6"/>
    <w:rsid w:val="00282110"/>
    <w:rsid w:val="002824EA"/>
    <w:rsid w:val="00282DA3"/>
    <w:rsid w:val="00283A2B"/>
    <w:rsid w:val="002840BE"/>
    <w:rsid w:val="00284D6C"/>
    <w:rsid w:val="00285020"/>
    <w:rsid w:val="002851C5"/>
    <w:rsid w:val="002854C5"/>
    <w:rsid w:val="00285590"/>
    <w:rsid w:val="00286301"/>
    <w:rsid w:val="002863D0"/>
    <w:rsid w:val="00286485"/>
    <w:rsid w:val="00286555"/>
    <w:rsid w:val="002867E7"/>
    <w:rsid w:val="00286BA8"/>
    <w:rsid w:val="00286BD9"/>
    <w:rsid w:val="00287132"/>
    <w:rsid w:val="0028715C"/>
    <w:rsid w:val="0028729F"/>
    <w:rsid w:val="002879BF"/>
    <w:rsid w:val="00287B10"/>
    <w:rsid w:val="00287B56"/>
    <w:rsid w:val="00287C0E"/>
    <w:rsid w:val="00287E88"/>
    <w:rsid w:val="0029020D"/>
    <w:rsid w:val="002907D1"/>
    <w:rsid w:val="0029174A"/>
    <w:rsid w:val="00291B58"/>
    <w:rsid w:val="00291C85"/>
    <w:rsid w:val="00291D0F"/>
    <w:rsid w:val="00291E79"/>
    <w:rsid w:val="00292BDD"/>
    <w:rsid w:val="00292F5D"/>
    <w:rsid w:val="00293A1C"/>
    <w:rsid w:val="00293A5E"/>
    <w:rsid w:val="00293D4A"/>
    <w:rsid w:val="002941E9"/>
    <w:rsid w:val="00294229"/>
    <w:rsid w:val="002945B2"/>
    <w:rsid w:val="00294622"/>
    <w:rsid w:val="002948B1"/>
    <w:rsid w:val="00294B06"/>
    <w:rsid w:val="00294C9F"/>
    <w:rsid w:val="00295421"/>
    <w:rsid w:val="00295AA0"/>
    <w:rsid w:val="00295C9F"/>
    <w:rsid w:val="00295F7D"/>
    <w:rsid w:val="00295FBE"/>
    <w:rsid w:val="002967BA"/>
    <w:rsid w:val="002968E5"/>
    <w:rsid w:val="00296F19"/>
    <w:rsid w:val="002972AB"/>
    <w:rsid w:val="0029784F"/>
    <w:rsid w:val="00297C4E"/>
    <w:rsid w:val="002A00BC"/>
    <w:rsid w:val="002A0286"/>
    <w:rsid w:val="002A0309"/>
    <w:rsid w:val="002A05D5"/>
    <w:rsid w:val="002A0B8B"/>
    <w:rsid w:val="002A0BB2"/>
    <w:rsid w:val="002A1078"/>
    <w:rsid w:val="002A1243"/>
    <w:rsid w:val="002A1AE0"/>
    <w:rsid w:val="002A1B31"/>
    <w:rsid w:val="002A1C03"/>
    <w:rsid w:val="002A215B"/>
    <w:rsid w:val="002A238A"/>
    <w:rsid w:val="002A2896"/>
    <w:rsid w:val="002A2B2E"/>
    <w:rsid w:val="002A3AF2"/>
    <w:rsid w:val="002A3E92"/>
    <w:rsid w:val="002A4851"/>
    <w:rsid w:val="002A5207"/>
    <w:rsid w:val="002A52FE"/>
    <w:rsid w:val="002A53BC"/>
    <w:rsid w:val="002A6801"/>
    <w:rsid w:val="002A6DCD"/>
    <w:rsid w:val="002A6EBC"/>
    <w:rsid w:val="002A6FE5"/>
    <w:rsid w:val="002A71CC"/>
    <w:rsid w:val="002A7353"/>
    <w:rsid w:val="002A775F"/>
    <w:rsid w:val="002A77B2"/>
    <w:rsid w:val="002A77DA"/>
    <w:rsid w:val="002A7B27"/>
    <w:rsid w:val="002A7F77"/>
    <w:rsid w:val="002B0258"/>
    <w:rsid w:val="002B02C1"/>
    <w:rsid w:val="002B047F"/>
    <w:rsid w:val="002B0543"/>
    <w:rsid w:val="002B06C5"/>
    <w:rsid w:val="002B07EB"/>
    <w:rsid w:val="002B09FA"/>
    <w:rsid w:val="002B0D44"/>
    <w:rsid w:val="002B0E14"/>
    <w:rsid w:val="002B0E2B"/>
    <w:rsid w:val="002B0E54"/>
    <w:rsid w:val="002B148A"/>
    <w:rsid w:val="002B1702"/>
    <w:rsid w:val="002B1DBF"/>
    <w:rsid w:val="002B2C54"/>
    <w:rsid w:val="002B2CD9"/>
    <w:rsid w:val="002B3012"/>
    <w:rsid w:val="002B3DDA"/>
    <w:rsid w:val="002B49AE"/>
    <w:rsid w:val="002B4D8B"/>
    <w:rsid w:val="002B4E37"/>
    <w:rsid w:val="002B4E58"/>
    <w:rsid w:val="002B54D4"/>
    <w:rsid w:val="002B5732"/>
    <w:rsid w:val="002B584D"/>
    <w:rsid w:val="002B5AB3"/>
    <w:rsid w:val="002B5BCF"/>
    <w:rsid w:val="002B681F"/>
    <w:rsid w:val="002B687C"/>
    <w:rsid w:val="002B68BD"/>
    <w:rsid w:val="002B6E59"/>
    <w:rsid w:val="002B7E4E"/>
    <w:rsid w:val="002B7F1A"/>
    <w:rsid w:val="002B7FB3"/>
    <w:rsid w:val="002C0828"/>
    <w:rsid w:val="002C1179"/>
    <w:rsid w:val="002C17A5"/>
    <w:rsid w:val="002C1CD4"/>
    <w:rsid w:val="002C2411"/>
    <w:rsid w:val="002C2425"/>
    <w:rsid w:val="002C246C"/>
    <w:rsid w:val="002C2718"/>
    <w:rsid w:val="002C4E23"/>
    <w:rsid w:val="002C4EB2"/>
    <w:rsid w:val="002C54C8"/>
    <w:rsid w:val="002C5638"/>
    <w:rsid w:val="002C5A70"/>
    <w:rsid w:val="002C5BD8"/>
    <w:rsid w:val="002C5E94"/>
    <w:rsid w:val="002C603C"/>
    <w:rsid w:val="002C6FDA"/>
    <w:rsid w:val="002C71D4"/>
    <w:rsid w:val="002C737C"/>
    <w:rsid w:val="002C73CD"/>
    <w:rsid w:val="002C770D"/>
    <w:rsid w:val="002C792B"/>
    <w:rsid w:val="002C7932"/>
    <w:rsid w:val="002C7B4B"/>
    <w:rsid w:val="002C7B56"/>
    <w:rsid w:val="002D026E"/>
    <w:rsid w:val="002D06DC"/>
    <w:rsid w:val="002D146D"/>
    <w:rsid w:val="002D198E"/>
    <w:rsid w:val="002D199D"/>
    <w:rsid w:val="002D1B46"/>
    <w:rsid w:val="002D20AA"/>
    <w:rsid w:val="002D3026"/>
    <w:rsid w:val="002D3210"/>
    <w:rsid w:val="002D37D9"/>
    <w:rsid w:val="002D38A7"/>
    <w:rsid w:val="002D3A1E"/>
    <w:rsid w:val="002D40A3"/>
    <w:rsid w:val="002D410A"/>
    <w:rsid w:val="002D43B2"/>
    <w:rsid w:val="002D463F"/>
    <w:rsid w:val="002D4A78"/>
    <w:rsid w:val="002D4F8B"/>
    <w:rsid w:val="002D53B8"/>
    <w:rsid w:val="002D545A"/>
    <w:rsid w:val="002D5A3A"/>
    <w:rsid w:val="002D5EBF"/>
    <w:rsid w:val="002D653D"/>
    <w:rsid w:val="002D6E61"/>
    <w:rsid w:val="002D6F30"/>
    <w:rsid w:val="002D759F"/>
    <w:rsid w:val="002D76D8"/>
    <w:rsid w:val="002D7892"/>
    <w:rsid w:val="002D7E42"/>
    <w:rsid w:val="002E011A"/>
    <w:rsid w:val="002E03C9"/>
    <w:rsid w:val="002E03CE"/>
    <w:rsid w:val="002E0714"/>
    <w:rsid w:val="002E0BC0"/>
    <w:rsid w:val="002E0C8B"/>
    <w:rsid w:val="002E0D8C"/>
    <w:rsid w:val="002E0ED9"/>
    <w:rsid w:val="002E10A6"/>
    <w:rsid w:val="002E1A93"/>
    <w:rsid w:val="002E1ABA"/>
    <w:rsid w:val="002E1C2A"/>
    <w:rsid w:val="002E1E7F"/>
    <w:rsid w:val="002E1EE6"/>
    <w:rsid w:val="002E1F73"/>
    <w:rsid w:val="002E2834"/>
    <w:rsid w:val="002E2B3B"/>
    <w:rsid w:val="002E2FD2"/>
    <w:rsid w:val="002E3063"/>
    <w:rsid w:val="002E315D"/>
    <w:rsid w:val="002E325B"/>
    <w:rsid w:val="002E3353"/>
    <w:rsid w:val="002E3651"/>
    <w:rsid w:val="002E3EF9"/>
    <w:rsid w:val="002E4528"/>
    <w:rsid w:val="002E4B45"/>
    <w:rsid w:val="002E4C7B"/>
    <w:rsid w:val="002E519C"/>
    <w:rsid w:val="002E5AB7"/>
    <w:rsid w:val="002E5DD1"/>
    <w:rsid w:val="002E5DF3"/>
    <w:rsid w:val="002E5F51"/>
    <w:rsid w:val="002E675F"/>
    <w:rsid w:val="002E6C9B"/>
    <w:rsid w:val="002E7368"/>
    <w:rsid w:val="002E7548"/>
    <w:rsid w:val="002E7789"/>
    <w:rsid w:val="002E794A"/>
    <w:rsid w:val="002E7A1B"/>
    <w:rsid w:val="002E7A1E"/>
    <w:rsid w:val="002F01A0"/>
    <w:rsid w:val="002F0989"/>
    <w:rsid w:val="002F0BB6"/>
    <w:rsid w:val="002F0BC8"/>
    <w:rsid w:val="002F135B"/>
    <w:rsid w:val="002F2344"/>
    <w:rsid w:val="002F2C05"/>
    <w:rsid w:val="002F2E76"/>
    <w:rsid w:val="002F3E7B"/>
    <w:rsid w:val="002F42EA"/>
    <w:rsid w:val="002F4667"/>
    <w:rsid w:val="002F4AC2"/>
    <w:rsid w:val="002F4AE3"/>
    <w:rsid w:val="002F4D27"/>
    <w:rsid w:val="002F541C"/>
    <w:rsid w:val="002F558B"/>
    <w:rsid w:val="002F640E"/>
    <w:rsid w:val="002F6732"/>
    <w:rsid w:val="002F6953"/>
    <w:rsid w:val="002F71E9"/>
    <w:rsid w:val="003008A3"/>
    <w:rsid w:val="003010F7"/>
    <w:rsid w:val="00301285"/>
    <w:rsid w:val="00301359"/>
    <w:rsid w:val="003015F0"/>
    <w:rsid w:val="0030172F"/>
    <w:rsid w:val="00301D1A"/>
    <w:rsid w:val="00301FD2"/>
    <w:rsid w:val="003023D8"/>
    <w:rsid w:val="00302790"/>
    <w:rsid w:val="0030327D"/>
    <w:rsid w:val="0030336A"/>
    <w:rsid w:val="00303525"/>
    <w:rsid w:val="003038AB"/>
    <w:rsid w:val="00304284"/>
    <w:rsid w:val="003042B1"/>
    <w:rsid w:val="00304689"/>
    <w:rsid w:val="00304923"/>
    <w:rsid w:val="003049CA"/>
    <w:rsid w:val="00304A5A"/>
    <w:rsid w:val="00304F09"/>
    <w:rsid w:val="00305219"/>
    <w:rsid w:val="00305742"/>
    <w:rsid w:val="0030593D"/>
    <w:rsid w:val="0030622D"/>
    <w:rsid w:val="003065A8"/>
    <w:rsid w:val="00306D2A"/>
    <w:rsid w:val="00306E32"/>
    <w:rsid w:val="00306EF1"/>
    <w:rsid w:val="003071B6"/>
    <w:rsid w:val="00307C35"/>
    <w:rsid w:val="003101D5"/>
    <w:rsid w:val="0031038F"/>
    <w:rsid w:val="003105B0"/>
    <w:rsid w:val="003106A4"/>
    <w:rsid w:val="00310837"/>
    <w:rsid w:val="00310C76"/>
    <w:rsid w:val="00310F84"/>
    <w:rsid w:val="0031105D"/>
    <w:rsid w:val="00312007"/>
    <w:rsid w:val="00312171"/>
    <w:rsid w:val="0031246C"/>
    <w:rsid w:val="00312859"/>
    <w:rsid w:val="00312E00"/>
    <w:rsid w:val="00313777"/>
    <w:rsid w:val="0031380E"/>
    <w:rsid w:val="0031398D"/>
    <w:rsid w:val="00313FE1"/>
    <w:rsid w:val="0031428A"/>
    <w:rsid w:val="00314488"/>
    <w:rsid w:val="003146D7"/>
    <w:rsid w:val="00314967"/>
    <w:rsid w:val="00314C96"/>
    <w:rsid w:val="003154CE"/>
    <w:rsid w:val="003159CE"/>
    <w:rsid w:val="00316100"/>
    <w:rsid w:val="00317525"/>
    <w:rsid w:val="003179A3"/>
    <w:rsid w:val="00317A2F"/>
    <w:rsid w:val="00317C2F"/>
    <w:rsid w:val="00317C5D"/>
    <w:rsid w:val="00320A7F"/>
    <w:rsid w:val="00320AE3"/>
    <w:rsid w:val="00320BA5"/>
    <w:rsid w:val="00320D8F"/>
    <w:rsid w:val="00321218"/>
    <w:rsid w:val="003213D3"/>
    <w:rsid w:val="00321B7C"/>
    <w:rsid w:val="00321E8C"/>
    <w:rsid w:val="0032204A"/>
    <w:rsid w:val="00322219"/>
    <w:rsid w:val="00322E64"/>
    <w:rsid w:val="003230AE"/>
    <w:rsid w:val="003237C4"/>
    <w:rsid w:val="00323EF7"/>
    <w:rsid w:val="00324432"/>
    <w:rsid w:val="00324495"/>
    <w:rsid w:val="003249C9"/>
    <w:rsid w:val="003249D7"/>
    <w:rsid w:val="00324B23"/>
    <w:rsid w:val="003266A5"/>
    <w:rsid w:val="0032750D"/>
    <w:rsid w:val="003276ED"/>
    <w:rsid w:val="00330786"/>
    <w:rsid w:val="0033079E"/>
    <w:rsid w:val="00330879"/>
    <w:rsid w:val="00330B9B"/>
    <w:rsid w:val="00330D58"/>
    <w:rsid w:val="0033121A"/>
    <w:rsid w:val="00331347"/>
    <w:rsid w:val="0033148E"/>
    <w:rsid w:val="00331D49"/>
    <w:rsid w:val="00331E3C"/>
    <w:rsid w:val="003320F1"/>
    <w:rsid w:val="0033255A"/>
    <w:rsid w:val="00332DCE"/>
    <w:rsid w:val="00333373"/>
    <w:rsid w:val="00333629"/>
    <w:rsid w:val="00333673"/>
    <w:rsid w:val="003336B0"/>
    <w:rsid w:val="00333884"/>
    <w:rsid w:val="00333AF3"/>
    <w:rsid w:val="00333EE8"/>
    <w:rsid w:val="00333FC0"/>
    <w:rsid w:val="003345C1"/>
    <w:rsid w:val="00334E0C"/>
    <w:rsid w:val="00334F8C"/>
    <w:rsid w:val="00335005"/>
    <w:rsid w:val="0033554A"/>
    <w:rsid w:val="00335650"/>
    <w:rsid w:val="003357D3"/>
    <w:rsid w:val="003358B4"/>
    <w:rsid w:val="00335B3A"/>
    <w:rsid w:val="00335BDC"/>
    <w:rsid w:val="00335E07"/>
    <w:rsid w:val="0033628A"/>
    <w:rsid w:val="00336CC4"/>
    <w:rsid w:val="00336E51"/>
    <w:rsid w:val="00337423"/>
    <w:rsid w:val="0033772A"/>
    <w:rsid w:val="0033793C"/>
    <w:rsid w:val="00337ACF"/>
    <w:rsid w:val="00337F31"/>
    <w:rsid w:val="003403F5"/>
    <w:rsid w:val="00340462"/>
    <w:rsid w:val="00340602"/>
    <w:rsid w:val="0034076E"/>
    <w:rsid w:val="00340C7B"/>
    <w:rsid w:val="00341117"/>
    <w:rsid w:val="0034122F"/>
    <w:rsid w:val="003412AB"/>
    <w:rsid w:val="0034191F"/>
    <w:rsid w:val="00341993"/>
    <w:rsid w:val="00341CDE"/>
    <w:rsid w:val="00341FC9"/>
    <w:rsid w:val="003423D8"/>
    <w:rsid w:val="0034247D"/>
    <w:rsid w:val="0034265C"/>
    <w:rsid w:val="0034278D"/>
    <w:rsid w:val="00342BA5"/>
    <w:rsid w:val="00342E4B"/>
    <w:rsid w:val="00342EFC"/>
    <w:rsid w:val="0034310B"/>
    <w:rsid w:val="003431E1"/>
    <w:rsid w:val="00343BC8"/>
    <w:rsid w:val="00343FE1"/>
    <w:rsid w:val="003441E5"/>
    <w:rsid w:val="00344332"/>
    <w:rsid w:val="0034464A"/>
    <w:rsid w:val="00344ABE"/>
    <w:rsid w:val="00344C67"/>
    <w:rsid w:val="00344D57"/>
    <w:rsid w:val="00344E1C"/>
    <w:rsid w:val="003454CB"/>
    <w:rsid w:val="00345689"/>
    <w:rsid w:val="00345AAE"/>
    <w:rsid w:val="003467B2"/>
    <w:rsid w:val="00346857"/>
    <w:rsid w:val="003468CC"/>
    <w:rsid w:val="00346DA9"/>
    <w:rsid w:val="00346DAC"/>
    <w:rsid w:val="00346E26"/>
    <w:rsid w:val="00346F4D"/>
    <w:rsid w:val="00347367"/>
    <w:rsid w:val="0034792F"/>
    <w:rsid w:val="00347AB7"/>
    <w:rsid w:val="00347BEC"/>
    <w:rsid w:val="00350237"/>
    <w:rsid w:val="0035050F"/>
    <w:rsid w:val="00350DF8"/>
    <w:rsid w:val="00350E99"/>
    <w:rsid w:val="0035126E"/>
    <w:rsid w:val="0035148A"/>
    <w:rsid w:val="0035148D"/>
    <w:rsid w:val="003516D0"/>
    <w:rsid w:val="00351B46"/>
    <w:rsid w:val="00352566"/>
    <w:rsid w:val="00352683"/>
    <w:rsid w:val="003529BC"/>
    <w:rsid w:val="00352A9F"/>
    <w:rsid w:val="0035306A"/>
    <w:rsid w:val="0035343F"/>
    <w:rsid w:val="0035366D"/>
    <w:rsid w:val="00353DE5"/>
    <w:rsid w:val="00354C4D"/>
    <w:rsid w:val="00354CD6"/>
    <w:rsid w:val="003551A0"/>
    <w:rsid w:val="00355722"/>
    <w:rsid w:val="00355936"/>
    <w:rsid w:val="003559CF"/>
    <w:rsid w:val="00356062"/>
    <w:rsid w:val="00356738"/>
    <w:rsid w:val="00356769"/>
    <w:rsid w:val="00356DC8"/>
    <w:rsid w:val="003571EC"/>
    <w:rsid w:val="003573DA"/>
    <w:rsid w:val="00357419"/>
    <w:rsid w:val="0035779C"/>
    <w:rsid w:val="00357E42"/>
    <w:rsid w:val="00360AB1"/>
    <w:rsid w:val="0036102A"/>
    <w:rsid w:val="0036126D"/>
    <w:rsid w:val="0036150E"/>
    <w:rsid w:val="00361A61"/>
    <w:rsid w:val="00361A81"/>
    <w:rsid w:val="00361A85"/>
    <w:rsid w:val="00362187"/>
    <w:rsid w:val="00362205"/>
    <w:rsid w:val="0036238D"/>
    <w:rsid w:val="00362468"/>
    <w:rsid w:val="003627D7"/>
    <w:rsid w:val="00362A35"/>
    <w:rsid w:val="00362A85"/>
    <w:rsid w:val="00362A96"/>
    <w:rsid w:val="00362AF8"/>
    <w:rsid w:val="00362E3C"/>
    <w:rsid w:val="003630E9"/>
    <w:rsid w:val="00363986"/>
    <w:rsid w:val="00363BD1"/>
    <w:rsid w:val="00364195"/>
    <w:rsid w:val="0036502C"/>
    <w:rsid w:val="003651AA"/>
    <w:rsid w:val="0036558F"/>
    <w:rsid w:val="00365BFB"/>
    <w:rsid w:val="00365E4E"/>
    <w:rsid w:val="003661A4"/>
    <w:rsid w:val="003662D3"/>
    <w:rsid w:val="00366584"/>
    <w:rsid w:val="00366876"/>
    <w:rsid w:val="00366A1B"/>
    <w:rsid w:val="003679C3"/>
    <w:rsid w:val="00370114"/>
    <w:rsid w:val="0037012E"/>
    <w:rsid w:val="0037035C"/>
    <w:rsid w:val="0037059F"/>
    <w:rsid w:val="003707A7"/>
    <w:rsid w:val="00370B41"/>
    <w:rsid w:val="00370BBE"/>
    <w:rsid w:val="00370DAC"/>
    <w:rsid w:val="0037144E"/>
    <w:rsid w:val="0037154B"/>
    <w:rsid w:val="00371785"/>
    <w:rsid w:val="00371A68"/>
    <w:rsid w:val="00372066"/>
    <w:rsid w:val="003720AF"/>
    <w:rsid w:val="0037233C"/>
    <w:rsid w:val="003727A0"/>
    <w:rsid w:val="00372A7D"/>
    <w:rsid w:val="003736AE"/>
    <w:rsid w:val="00373ADD"/>
    <w:rsid w:val="00373E31"/>
    <w:rsid w:val="00373F41"/>
    <w:rsid w:val="00374791"/>
    <w:rsid w:val="00374C34"/>
    <w:rsid w:val="00375166"/>
    <w:rsid w:val="00375678"/>
    <w:rsid w:val="00375B7C"/>
    <w:rsid w:val="00375D3E"/>
    <w:rsid w:val="003764F4"/>
    <w:rsid w:val="003766B1"/>
    <w:rsid w:val="00376B51"/>
    <w:rsid w:val="00376EF3"/>
    <w:rsid w:val="0037750B"/>
    <w:rsid w:val="00377941"/>
    <w:rsid w:val="00377DE7"/>
    <w:rsid w:val="003800A5"/>
    <w:rsid w:val="003800BF"/>
    <w:rsid w:val="003801D6"/>
    <w:rsid w:val="00380CF3"/>
    <w:rsid w:val="00380D8D"/>
    <w:rsid w:val="003810B5"/>
    <w:rsid w:val="00381330"/>
    <w:rsid w:val="003815E6"/>
    <w:rsid w:val="00381E69"/>
    <w:rsid w:val="003836E8"/>
    <w:rsid w:val="00383A5E"/>
    <w:rsid w:val="00383B00"/>
    <w:rsid w:val="00383FBB"/>
    <w:rsid w:val="00384F2F"/>
    <w:rsid w:val="00385067"/>
    <w:rsid w:val="0038533E"/>
    <w:rsid w:val="00385716"/>
    <w:rsid w:val="00385CFA"/>
    <w:rsid w:val="00385D46"/>
    <w:rsid w:val="00385D8C"/>
    <w:rsid w:val="0038654F"/>
    <w:rsid w:val="00386E9D"/>
    <w:rsid w:val="003872AE"/>
    <w:rsid w:val="00387616"/>
    <w:rsid w:val="00390163"/>
    <w:rsid w:val="00390490"/>
    <w:rsid w:val="0039076A"/>
    <w:rsid w:val="00390882"/>
    <w:rsid w:val="00391259"/>
    <w:rsid w:val="00391F4E"/>
    <w:rsid w:val="003923D2"/>
    <w:rsid w:val="00392791"/>
    <w:rsid w:val="003929E1"/>
    <w:rsid w:val="00392A12"/>
    <w:rsid w:val="00392E2D"/>
    <w:rsid w:val="00392F8E"/>
    <w:rsid w:val="00393196"/>
    <w:rsid w:val="00393384"/>
    <w:rsid w:val="003933D0"/>
    <w:rsid w:val="003936D4"/>
    <w:rsid w:val="00393C40"/>
    <w:rsid w:val="00393F80"/>
    <w:rsid w:val="00394375"/>
    <w:rsid w:val="00394759"/>
    <w:rsid w:val="0039485D"/>
    <w:rsid w:val="00394A7E"/>
    <w:rsid w:val="00394BCB"/>
    <w:rsid w:val="00394D90"/>
    <w:rsid w:val="00394FB7"/>
    <w:rsid w:val="00395271"/>
    <w:rsid w:val="00395751"/>
    <w:rsid w:val="003967D3"/>
    <w:rsid w:val="003967F6"/>
    <w:rsid w:val="00396B54"/>
    <w:rsid w:val="00396C8E"/>
    <w:rsid w:val="00396D19"/>
    <w:rsid w:val="003971B4"/>
    <w:rsid w:val="0039755F"/>
    <w:rsid w:val="00397BEC"/>
    <w:rsid w:val="003A03AD"/>
    <w:rsid w:val="003A064C"/>
    <w:rsid w:val="003A085D"/>
    <w:rsid w:val="003A0C95"/>
    <w:rsid w:val="003A0CD1"/>
    <w:rsid w:val="003A1454"/>
    <w:rsid w:val="003A194F"/>
    <w:rsid w:val="003A1FCC"/>
    <w:rsid w:val="003A22AB"/>
    <w:rsid w:val="003A26B8"/>
    <w:rsid w:val="003A2C5E"/>
    <w:rsid w:val="003A2C7D"/>
    <w:rsid w:val="003A2F13"/>
    <w:rsid w:val="003A31C0"/>
    <w:rsid w:val="003A330C"/>
    <w:rsid w:val="003A3A7F"/>
    <w:rsid w:val="003A52C5"/>
    <w:rsid w:val="003A57AD"/>
    <w:rsid w:val="003A5A37"/>
    <w:rsid w:val="003A6685"/>
    <w:rsid w:val="003A66A8"/>
    <w:rsid w:val="003A66FD"/>
    <w:rsid w:val="003A67D9"/>
    <w:rsid w:val="003A6C31"/>
    <w:rsid w:val="003A6F88"/>
    <w:rsid w:val="003A6FEE"/>
    <w:rsid w:val="003A7026"/>
    <w:rsid w:val="003A7030"/>
    <w:rsid w:val="003A7736"/>
    <w:rsid w:val="003A7C02"/>
    <w:rsid w:val="003A7E3D"/>
    <w:rsid w:val="003A7FEF"/>
    <w:rsid w:val="003B0015"/>
    <w:rsid w:val="003B0350"/>
    <w:rsid w:val="003B05A8"/>
    <w:rsid w:val="003B05D0"/>
    <w:rsid w:val="003B06D0"/>
    <w:rsid w:val="003B0B5E"/>
    <w:rsid w:val="003B102F"/>
    <w:rsid w:val="003B1321"/>
    <w:rsid w:val="003B1478"/>
    <w:rsid w:val="003B1639"/>
    <w:rsid w:val="003B17F6"/>
    <w:rsid w:val="003B19AC"/>
    <w:rsid w:val="003B1C75"/>
    <w:rsid w:val="003B1CC0"/>
    <w:rsid w:val="003B2004"/>
    <w:rsid w:val="003B2114"/>
    <w:rsid w:val="003B2586"/>
    <w:rsid w:val="003B2642"/>
    <w:rsid w:val="003B2767"/>
    <w:rsid w:val="003B2A21"/>
    <w:rsid w:val="003B2A5D"/>
    <w:rsid w:val="003B2CFC"/>
    <w:rsid w:val="003B3CD0"/>
    <w:rsid w:val="003B42F4"/>
    <w:rsid w:val="003B44C2"/>
    <w:rsid w:val="003B471A"/>
    <w:rsid w:val="003B4AB9"/>
    <w:rsid w:val="003B4D66"/>
    <w:rsid w:val="003B4FFA"/>
    <w:rsid w:val="003B530C"/>
    <w:rsid w:val="003B5408"/>
    <w:rsid w:val="003B57B6"/>
    <w:rsid w:val="003B58AE"/>
    <w:rsid w:val="003B58F9"/>
    <w:rsid w:val="003B65ED"/>
    <w:rsid w:val="003B6F93"/>
    <w:rsid w:val="003C0187"/>
    <w:rsid w:val="003C0222"/>
    <w:rsid w:val="003C0281"/>
    <w:rsid w:val="003C0E19"/>
    <w:rsid w:val="003C0E9C"/>
    <w:rsid w:val="003C11FF"/>
    <w:rsid w:val="003C12A1"/>
    <w:rsid w:val="003C147E"/>
    <w:rsid w:val="003C195A"/>
    <w:rsid w:val="003C1F50"/>
    <w:rsid w:val="003C2057"/>
    <w:rsid w:val="003C22FE"/>
    <w:rsid w:val="003C23AE"/>
    <w:rsid w:val="003C26CC"/>
    <w:rsid w:val="003C2A20"/>
    <w:rsid w:val="003C2D63"/>
    <w:rsid w:val="003C2FDB"/>
    <w:rsid w:val="003C30B9"/>
    <w:rsid w:val="003C324A"/>
    <w:rsid w:val="003C345C"/>
    <w:rsid w:val="003C34F7"/>
    <w:rsid w:val="003C3CB9"/>
    <w:rsid w:val="003C3F62"/>
    <w:rsid w:val="003C475B"/>
    <w:rsid w:val="003C47EE"/>
    <w:rsid w:val="003C4CC1"/>
    <w:rsid w:val="003C5A6C"/>
    <w:rsid w:val="003C5DD8"/>
    <w:rsid w:val="003C5DF2"/>
    <w:rsid w:val="003C600E"/>
    <w:rsid w:val="003C60C9"/>
    <w:rsid w:val="003C633F"/>
    <w:rsid w:val="003C6666"/>
    <w:rsid w:val="003C68FC"/>
    <w:rsid w:val="003C6DE8"/>
    <w:rsid w:val="003C76A5"/>
    <w:rsid w:val="003C77C0"/>
    <w:rsid w:val="003C784D"/>
    <w:rsid w:val="003C7897"/>
    <w:rsid w:val="003C78C2"/>
    <w:rsid w:val="003C7CA7"/>
    <w:rsid w:val="003D0276"/>
    <w:rsid w:val="003D0282"/>
    <w:rsid w:val="003D0AA9"/>
    <w:rsid w:val="003D1A13"/>
    <w:rsid w:val="003D1D55"/>
    <w:rsid w:val="003D1FEA"/>
    <w:rsid w:val="003D2532"/>
    <w:rsid w:val="003D2BA2"/>
    <w:rsid w:val="003D2C9C"/>
    <w:rsid w:val="003D2E22"/>
    <w:rsid w:val="003D30CD"/>
    <w:rsid w:val="003D3A48"/>
    <w:rsid w:val="003D3C4C"/>
    <w:rsid w:val="003D4092"/>
    <w:rsid w:val="003D41CE"/>
    <w:rsid w:val="003D42FB"/>
    <w:rsid w:val="003D465D"/>
    <w:rsid w:val="003D4ABF"/>
    <w:rsid w:val="003D4F24"/>
    <w:rsid w:val="003D51AF"/>
    <w:rsid w:val="003D52A3"/>
    <w:rsid w:val="003D54F8"/>
    <w:rsid w:val="003D5515"/>
    <w:rsid w:val="003D567C"/>
    <w:rsid w:val="003D57C6"/>
    <w:rsid w:val="003D57FB"/>
    <w:rsid w:val="003D5AA6"/>
    <w:rsid w:val="003D60AE"/>
    <w:rsid w:val="003D6324"/>
    <w:rsid w:val="003D641B"/>
    <w:rsid w:val="003D64F1"/>
    <w:rsid w:val="003D7181"/>
    <w:rsid w:val="003D71CA"/>
    <w:rsid w:val="003D71EB"/>
    <w:rsid w:val="003D76D3"/>
    <w:rsid w:val="003D7905"/>
    <w:rsid w:val="003D794B"/>
    <w:rsid w:val="003D7B56"/>
    <w:rsid w:val="003D7D4A"/>
    <w:rsid w:val="003E04ED"/>
    <w:rsid w:val="003E05AE"/>
    <w:rsid w:val="003E0822"/>
    <w:rsid w:val="003E0C6B"/>
    <w:rsid w:val="003E0F1C"/>
    <w:rsid w:val="003E1539"/>
    <w:rsid w:val="003E18E3"/>
    <w:rsid w:val="003E20CC"/>
    <w:rsid w:val="003E22D7"/>
    <w:rsid w:val="003E25BC"/>
    <w:rsid w:val="003E2DF3"/>
    <w:rsid w:val="003E38ED"/>
    <w:rsid w:val="003E3B07"/>
    <w:rsid w:val="003E3BB1"/>
    <w:rsid w:val="003E3E4E"/>
    <w:rsid w:val="003E43C5"/>
    <w:rsid w:val="003E5BD6"/>
    <w:rsid w:val="003E5EC5"/>
    <w:rsid w:val="003E5F4A"/>
    <w:rsid w:val="003E6CD4"/>
    <w:rsid w:val="003E7194"/>
    <w:rsid w:val="003E7279"/>
    <w:rsid w:val="003E73F9"/>
    <w:rsid w:val="003E7970"/>
    <w:rsid w:val="003E7C98"/>
    <w:rsid w:val="003F015A"/>
    <w:rsid w:val="003F059C"/>
    <w:rsid w:val="003F095E"/>
    <w:rsid w:val="003F0C30"/>
    <w:rsid w:val="003F0D8A"/>
    <w:rsid w:val="003F0E49"/>
    <w:rsid w:val="003F0E54"/>
    <w:rsid w:val="003F138D"/>
    <w:rsid w:val="003F1572"/>
    <w:rsid w:val="003F16A1"/>
    <w:rsid w:val="003F1758"/>
    <w:rsid w:val="003F180F"/>
    <w:rsid w:val="003F23B2"/>
    <w:rsid w:val="003F23E2"/>
    <w:rsid w:val="003F25D5"/>
    <w:rsid w:val="003F26DC"/>
    <w:rsid w:val="003F275D"/>
    <w:rsid w:val="003F2D77"/>
    <w:rsid w:val="003F2F9D"/>
    <w:rsid w:val="003F378B"/>
    <w:rsid w:val="003F3C8E"/>
    <w:rsid w:val="003F3F49"/>
    <w:rsid w:val="003F419D"/>
    <w:rsid w:val="003F42E1"/>
    <w:rsid w:val="003F487E"/>
    <w:rsid w:val="003F4957"/>
    <w:rsid w:val="003F5148"/>
    <w:rsid w:val="003F51BE"/>
    <w:rsid w:val="003F52ED"/>
    <w:rsid w:val="003F591B"/>
    <w:rsid w:val="003F652F"/>
    <w:rsid w:val="003F6768"/>
    <w:rsid w:val="003F6826"/>
    <w:rsid w:val="003F6B3C"/>
    <w:rsid w:val="003F6D92"/>
    <w:rsid w:val="003F6E44"/>
    <w:rsid w:val="003F6F81"/>
    <w:rsid w:val="003F7682"/>
    <w:rsid w:val="003F7BA3"/>
    <w:rsid w:val="004007CB"/>
    <w:rsid w:val="0040098B"/>
    <w:rsid w:val="00400A98"/>
    <w:rsid w:val="00400B26"/>
    <w:rsid w:val="004010D6"/>
    <w:rsid w:val="00401273"/>
    <w:rsid w:val="00401648"/>
    <w:rsid w:val="004017A7"/>
    <w:rsid w:val="00401BD2"/>
    <w:rsid w:val="004020FD"/>
    <w:rsid w:val="00402782"/>
    <w:rsid w:val="00402C63"/>
    <w:rsid w:val="0040308E"/>
    <w:rsid w:val="004030A9"/>
    <w:rsid w:val="00403635"/>
    <w:rsid w:val="004041C4"/>
    <w:rsid w:val="004042F0"/>
    <w:rsid w:val="00404356"/>
    <w:rsid w:val="00404490"/>
    <w:rsid w:val="00404596"/>
    <w:rsid w:val="00404EAD"/>
    <w:rsid w:val="00404F51"/>
    <w:rsid w:val="0040575A"/>
    <w:rsid w:val="00405813"/>
    <w:rsid w:val="00406097"/>
    <w:rsid w:val="00406191"/>
    <w:rsid w:val="0040679A"/>
    <w:rsid w:val="004068ED"/>
    <w:rsid w:val="00406F83"/>
    <w:rsid w:val="004070C4"/>
    <w:rsid w:val="00407292"/>
    <w:rsid w:val="00407AAD"/>
    <w:rsid w:val="0041029D"/>
    <w:rsid w:val="0041064B"/>
    <w:rsid w:val="00410670"/>
    <w:rsid w:val="00410A25"/>
    <w:rsid w:val="00410E67"/>
    <w:rsid w:val="00410EFB"/>
    <w:rsid w:val="004112BA"/>
    <w:rsid w:val="00411FD0"/>
    <w:rsid w:val="00412911"/>
    <w:rsid w:val="00412E97"/>
    <w:rsid w:val="004132BB"/>
    <w:rsid w:val="004133AC"/>
    <w:rsid w:val="00413AA7"/>
    <w:rsid w:val="00413EBF"/>
    <w:rsid w:val="004140F9"/>
    <w:rsid w:val="004144AE"/>
    <w:rsid w:val="00414645"/>
    <w:rsid w:val="004149F1"/>
    <w:rsid w:val="00414C94"/>
    <w:rsid w:val="00415CA4"/>
    <w:rsid w:val="00415F3F"/>
    <w:rsid w:val="00416277"/>
    <w:rsid w:val="00416DDA"/>
    <w:rsid w:val="0041715D"/>
    <w:rsid w:val="00417204"/>
    <w:rsid w:val="00417F0D"/>
    <w:rsid w:val="00420150"/>
    <w:rsid w:val="00420221"/>
    <w:rsid w:val="004203EF"/>
    <w:rsid w:val="00420772"/>
    <w:rsid w:val="00420C05"/>
    <w:rsid w:val="00421135"/>
    <w:rsid w:val="00421214"/>
    <w:rsid w:val="00421E28"/>
    <w:rsid w:val="00422A40"/>
    <w:rsid w:val="00422B1F"/>
    <w:rsid w:val="004232CE"/>
    <w:rsid w:val="00423949"/>
    <w:rsid w:val="00423A2B"/>
    <w:rsid w:val="00423DF8"/>
    <w:rsid w:val="004249DB"/>
    <w:rsid w:val="00424B2F"/>
    <w:rsid w:val="00424C85"/>
    <w:rsid w:val="00425E2E"/>
    <w:rsid w:val="00425E42"/>
    <w:rsid w:val="00426955"/>
    <w:rsid w:val="004269C5"/>
    <w:rsid w:val="00427656"/>
    <w:rsid w:val="004276A9"/>
    <w:rsid w:val="00427845"/>
    <w:rsid w:val="0042790A"/>
    <w:rsid w:val="004309D3"/>
    <w:rsid w:val="00430B97"/>
    <w:rsid w:val="00431015"/>
    <w:rsid w:val="0043124A"/>
    <w:rsid w:val="00431515"/>
    <w:rsid w:val="004317FA"/>
    <w:rsid w:val="004318D7"/>
    <w:rsid w:val="00431EA1"/>
    <w:rsid w:val="004320E1"/>
    <w:rsid w:val="00432288"/>
    <w:rsid w:val="004323E4"/>
    <w:rsid w:val="004323E7"/>
    <w:rsid w:val="00432456"/>
    <w:rsid w:val="00432A38"/>
    <w:rsid w:val="00432B2D"/>
    <w:rsid w:val="004330DF"/>
    <w:rsid w:val="00433BFD"/>
    <w:rsid w:val="0043434D"/>
    <w:rsid w:val="00434468"/>
    <w:rsid w:val="00434930"/>
    <w:rsid w:val="004349C2"/>
    <w:rsid w:val="00434AE1"/>
    <w:rsid w:val="00434CCB"/>
    <w:rsid w:val="004350EF"/>
    <w:rsid w:val="004353A8"/>
    <w:rsid w:val="00435413"/>
    <w:rsid w:val="00435453"/>
    <w:rsid w:val="0043552B"/>
    <w:rsid w:val="00435692"/>
    <w:rsid w:val="00435E7F"/>
    <w:rsid w:val="0043644A"/>
    <w:rsid w:val="00436BA2"/>
    <w:rsid w:val="004370B2"/>
    <w:rsid w:val="0043732E"/>
    <w:rsid w:val="00437382"/>
    <w:rsid w:val="004373F9"/>
    <w:rsid w:val="004375F2"/>
    <w:rsid w:val="00437B47"/>
    <w:rsid w:val="004401CF"/>
    <w:rsid w:val="00440594"/>
    <w:rsid w:val="00440822"/>
    <w:rsid w:val="00440BC9"/>
    <w:rsid w:val="00440CE2"/>
    <w:rsid w:val="004413A3"/>
    <w:rsid w:val="00441568"/>
    <w:rsid w:val="0044171A"/>
    <w:rsid w:val="00441DA8"/>
    <w:rsid w:val="00441F0E"/>
    <w:rsid w:val="00442046"/>
    <w:rsid w:val="00442171"/>
    <w:rsid w:val="00442594"/>
    <w:rsid w:val="00442649"/>
    <w:rsid w:val="00442B21"/>
    <w:rsid w:val="00442B3F"/>
    <w:rsid w:val="00442B43"/>
    <w:rsid w:val="00442C27"/>
    <w:rsid w:val="00443241"/>
    <w:rsid w:val="004432BC"/>
    <w:rsid w:val="0044379F"/>
    <w:rsid w:val="00443AD1"/>
    <w:rsid w:val="00444F13"/>
    <w:rsid w:val="00444F2A"/>
    <w:rsid w:val="004451D0"/>
    <w:rsid w:val="0044553F"/>
    <w:rsid w:val="00445734"/>
    <w:rsid w:val="00445917"/>
    <w:rsid w:val="00446701"/>
    <w:rsid w:val="004476D6"/>
    <w:rsid w:val="00447FB7"/>
    <w:rsid w:val="004501CA"/>
    <w:rsid w:val="00450233"/>
    <w:rsid w:val="00450597"/>
    <w:rsid w:val="00450701"/>
    <w:rsid w:val="00450A18"/>
    <w:rsid w:val="00450BDB"/>
    <w:rsid w:val="00450DFC"/>
    <w:rsid w:val="00450EFF"/>
    <w:rsid w:val="004515E4"/>
    <w:rsid w:val="00451737"/>
    <w:rsid w:val="00451B8C"/>
    <w:rsid w:val="00451CAC"/>
    <w:rsid w:val="004525BA"/>
    <w:rsid w:val="00452EE1"/>
    <w:rsid w:val="00453068"/>
    <w:rsid w:val="004530AB"/>
    <w:rsid w:val="00453119"/>
    <w:rsid w:val="00453493"/>
    <w:rsid w:val="004535AF"/>
    <w:rsid w:val="004539C5"/>
    <w:rsid w:val="00453A9F"/>
    <w:rsid w:val="00453D29"/>
    <w:rsid w:val="00453E0F"/>
    <w:rsid w:val="00453E9D"/>
    <w:rsid w:val="004542A6"/>
    <w:rsid w:val="00454627"/>
    <w:rsid w:val="00454EEC"/>
    <w:rsid w:val="0045526A"/>
    <w:rsid w:val="0045553C"/>
    <w:rsid w:val="004558F5"/>
    <w:rsid w:val="00455CAE"/>
    <w:rsid w:val="00456597"/>
    <w:rsid w:val="00456980"/>
    <w:rsid w:val="00456A16"/>
    <w:rsid w:val="00456C29"/>
    <w:rsid w:val="00456DDE"/>
    <w:rsid w:val="0045704F"/>
    <w:rsid w:val="00457550"/>
    <w:rsid w:val="00457C04"/>
    <w:rsid w:val="00457D47"/>
    <w:rsid w:val="004601F1"/>
    <w:rsid w:val="004608BE"/>
    <w:rsid w:val="00460A9F"/>
    <w:rsid w:val="00460C43"/>
    <w:rsid w:val="00460D52"/>
    <w:rsid w:val="00460E98"/>
    <w:rsid w:val="00461706"/>
    <w:rsid w:val="0046174F"/>
    <w:rsid w:val="004617C6"/>
    <w:rsid w:val="004618ED"/>
    <w:rsid w:val="0046196C"/>
    <w:rsid w:val="00461C1C"/>
    <w:rsid w:val="00461C7E"/>
    <w:rsid w:val="004626A0"/>
    <w:rsid w:val="00462AA0"/>
    <w:rsid w:val="00462FB0"/>
    <w:rsid w:val="00463099"/>
    <w:rsid w:val="004630B5"/>
    <w:rsid w:val="004630D3"/>
    <w:rsid w:val="00463349"/>
    <w:rsid w:val="004633AC"/>
    <w:rsid w:val="00463704"/>
    <w:rsid w:val="00463C85"/>
    <w:rsid w:val="004640B3"/>
    <w:rsid w:val="00464371"/>
    <w:rsid w:val="00464586"/>
    <w:rsid w:val="004646A0"/>
    <w:rsid w:val="00464764"/>
    <w:rsid w:val="00464DF1"/>
    <w:rsid w:val="00464E07"/>
    <w:rsid w:val="004651CA"/>
    <w:rsid w:val="00465ADC"/>
    <w:rsid w:val="00465C65"/>
    <w:rsid w:val="00466006"/>
    <w:rsid w:val="0046603B"/>
    <w:rsid w:val="0046690F"/>
    <w:rsid w:val="00466A21"/>
    <w:rsid w:val="00466ABB"/>
    <w:rsid w:val="00466B46"/>
    <w:rsid w:val="00466CA6"/>
    <w:rsid w:val="00467572"/>
    <w:rsid w:val="004675F1"/>
    <w:rsid w:val="00467870"/>
    <w:rsid w:val="004678C8"/>
    <w:rsid w:val="00467C8A"/>
    <w:rsid w:val="0047068B"/>
    <w:rsid w:val="00470F02"/>
    <w:rsid w:val="004712E5"/>
    <w:rsid w:val="00471649"/>
    <w:rsid w:val="00471807"/>
    <w:rsid w:val="00471CA5"/>
    <w:rsid w:val="00472258"/>
    <w:rsid w:val="00472D7F"/>
    <w:rsid w:val="0047359B"/>
    <w:rsid w:val="0047394F"/>
    <w:rsid w:val="00473FA3"/>
    <w:rsid w:val="0047421E"/>
    <w:rsid w:val="004747B8"/>
    <w:rsid w:val="004756CA"/>
    <w:rsid w:val="004764E3"/>
    <w:rsid w:val="0047660E"/>
    <w:rsid w:val="00476760"/>
    <w:rsid w:val="0047695D"/>
    <w:rsid w:val="00477C83"/>
    <w:rsid w:val="004801C5"/>
    <w:rsid w:val="00480391"/>
    <w:rsid w:val="004803AE"/>
    <w:rsid w:val="00480546"/>
    <w:rsid w:val="00481114"/>
    <w:rsid w:val="004826C5"/>
    <w:rsid w:val="004826EE"/>
    <w:rsid w:val="004828AF"/>
    <w:rsid w:val="00483EDB"/>
    <w:rsid w:val="00484423"/>
    <w:rsid w:val="004844BA"/>
    <w:rsid w:val="004847D7"/>
    <w:rsid w:val="004847DA"/>
    <w:rsid w:val="00484B6C"/>
    <w:rsid w:val="00484F80"/>
    <w:rsid w:val="004853A1"/>
    <w:rsid w:val="00485597"/>
    <w:rsid w:val="004859A4"/>
    <w:rsid w:val="00485A61"/>
    <w:rsid w:val="0048609F"/>
    <w:rsid w:val="00486291"/>
    <w:rsid w:val="004865BB"/>
    <w:rsid w:val="004868AD"/>
    <w:rsid w:val="00486C66"/>
    <w:rsid w:val="004872FA"/>
    <w:rsid w:val="00487924"/>
    <w:rsid w:val="004879F0"/>
    <w:rsid w:val="00487ACD"/>
    <w:rsid w:val="00487B0E"/>
    <w:rsid w:val="004900EA"/>
    <w:rsid w:val="00490369"/>
    <w:rsid w:val="004903D2"/>
    <w:rsid w:val="00490C2B"/>
    <w:rsid w:val="00490EA0"/>
    <w:rsid w:val="00490F39"/>
    <w:rsid w:val="0049108E"/>
    <w:rsid w:val="004911A1"/>
    <w:rsid w:val="004914F9"/>
    <w:rsid w:val="004915BF"/>
    <w:rsid w:val="00491796"/>
    <w:rsid w:val="00491857"/>
    <w:rsid w:val="0049198C"/>
    <w:rsid w:val="00491AEB"/>
    <w:rsid w:val="00491B78"/>
    <w:rsid w:val="0049216F"/>
    <w:rsid w:val="0049224A"/>
    <w:rsid w:val="00492460"/>
    <w:rsid w:val="0049251B"/>
    <w:rsid w:val="0049281D"/>
    <w:rsid w:val="004928D4"/>
    <w:rsid w:val="00492C3A"/>
    <w:rsid w:val="00493289"/>
    <w:rsid w:val="00493D1E"/>
    <w:rsid w:val="00494375"/>
    <w:rsid w:val="004945C1"/>
    <w:rsid w:val="004950C2"/>
    <w:rsid w:val="004953B0"/>
    <w:rsid w:val="00495A9F"/>
    <w:rsid w:val="00495B21"/>
    <w:rsid w:val="0049608A"/>
    <w:rsid w:val="004968A7"/>
    <w:rsid w:val="00496935"/>
    <w:rsid w:val="00496A4E"/>
    <w:rsid w:val="00496A86"/>
    <w:rsid w:val="00496CAE"/>
    <w:rsid w:val="00496EF1"/>
    <w:rsid w:val="00497375"/>
    <w:rsid w:val="004979DB"/>
    <w:rsid w:val="00497FC1"/>
    <w:rsid w:val="004A0332"/>
    <w:rsid w:val="004A0758"/>
    <w:rsid w:val="004A0A04"/>
    <w:rsid w:val="004A13AB"/>
    <w:rsid w:val="004A2393"/>
    <w:rsid w:val="004A2BB4"/>
    <w:rsid w:val="004A2F6F"/>
    <w:rsid w:val="004A34AD"/>
    <w:rsid w:val="004A4633"/>
    <w:rsid w:val="004A485E"/>
    <w:rsid w:val="004A499A"/>
    <w:rsid w:val="004A4A95"/>
    <w:rsid w:val="004A53E4"/>
    <w:rsid w:val="004A5443"/>
    <w:rsid w:val="004A611B"/>
    <w:rsid w:val="004A6539"/>
    <w:rsid w:val="004A6B72"/>
    <w:rsid w:val="004A73CA"/>
    <w:rsid w:val="004A7602"/>
    <w:rsid w:val="004A7695"/>
    <w:rsid w:val="004A776E"/>
    <w:rsid w:val="004A77F8"/>
    <w:rsid w:val="004A7B72"/>
    <w:rsid w:val="004B0144"/>
    <w:rsid w:val="004B06B1"/>
    <w:rsid w:val="004B07F7"/>
    <w:rsid w:val="004B0B3C"/>
    <w:rsid w:val="004B0FCB"/>
    <w:rsid w:val="004B1B7E"/>
    <w:rsid w:val="004B1C69"/>
    <w:rsid w:val="004B1D97"/>
    <w:rsid w:val="004B2086"/>
    <w:rsid w:val="004B2907"/>
    <w:rsid w:val="004B2DFA"/>
    <w:rsid w:val="004B2E51"/>
    <w:rsid w:val="004B2ED4"/>
    <w:rsid w:val="004B34CD"/>
    <w:rsid w:val="004B373B"/>
    <w:rsid w:val="004B3ED0"/>
    <w:rsid w:val="004B42C8"/>
    <w:rsid w:val="004B46EA"/>
    <w:rsid w:val="004B4B62"/>
    <w:rsid w:val="004B4BC2"/>
    <w:rsid w:val="004B4C26"/>
    <w:rsid w:val="004B4C36"/>
    <w:rsid w:val="004B4CFE"/>
    <w:rsid w:val="004B4EA3"/>
    <w:rsid w:val="004B50CF"/>
    <w:rsid w:val="004B5512"/>
    <w:rsid w:val="004B55AA"/>
    <w:rsid w:val="004B599F"/>
    <w:rsid w:val="004B5A85"/>
    <w:rsid w:val="004B5D29"/>
    <w:rsid w:val="004B6109"/>
    <w:rsid w:val="004B6332"/>
    <w:rsid w:val="004B6350"/>
    <w:rsid w:val="004B63A2"/>
    <w:rsid w:val="004B65B9"/>
    <w:rsid w:val="004B6CDE"/>
    <w:rsid w:val="004B6D17"/>
    <w:rsid w:val="004B6E83"/>
    <w:rsid w:val="004B6F36"/>
    <w:rsid w:val="004B6F5A"/>
    <w:rsid w:val="004B722C"/>
    <w:rsid w:val="004B7D52"/>
    <w:rsid w:val="004C0129"/>
    <w:rsid w:val="004C02F5"/>
    <w:rsid w:val="004C08CB"/>
    <w:rsid w:val="004C0F80"/>
    <w:rsid w:val="004C1135"/>
    <w:rsid w:val="004C1662"/>
    <w:rsid w:val="004C17C4"/>
    <w:rsid w:val="004C1B36"/>
    <w:rsid w:val="004C1D2C"/>
    <w:rsid w:val="004C1F84"/>
    <w:rsid w:val="004C2344"/>
    <w:rsid w:val="004C264D"/>
    <w:rsid w:val="004C2769"/>
    <w:rsid w:val="004C27DE"/>
    <w:rsid w:val="004C27FB"/>
    <w:rsid w:val="004C29D8"/>
    <w:rsid w:val="004C2CC1"/>
    <w:rsid w:val="004C3680"/>
    <w:rsid w:val="004C39E1"/>
    <w:rsid w:val="004C3D12"/>
    <w:rsid w:val="004C42DD"/>
    <w:rsid w:val="004C4B1D"/>
    <w:rsid w:val="004C4ED0"/>
    <w:rsid w:val="004C4FD9"/>
    <w:rsid w:val="004C5AC6"/>
    <w:rsid w:val="004C5B19"/>
    <w:rsid w:val="004C5C1C"/>
    <w:rsid w:val="004C5C75"/>
    <w:rsid w:val="004C5E71"/>
    <w:rsid w:val="004C5FA7"/>
    <w:rsid w:val="004C603D"/>
    <w:rsid w:val="004C6147"/>
    <w:rsid w:val="004C6990"/>
    <w:rsid w:val="004C69F3"/>
    <w:rsid w:val="004C69F9"/>
    <w:rsid w:val="004C6ADE"/>
    <w:rsid w:val="004C6C21"/>
    <w:rsid w:val="004C70C5"/>
    <w:rsid w:val="004D034A"/>
    <w:rsid w:val="004D0789"/>
    <w:rsid w:val="004D0FA7"/>
    <w:rsid w:val="004D10E9"/>
    <w:rsid w:val="004D149A"/>
    <w:rsid w:val="004D18CB"/>
    <w:rsid w:val="004D2447"/>
    <w:rsid w:val="004D2456"/>
    <w:rsid w:val="004D27C6"/>
    <w:rsid w:val="004D2950"/>
    <w:rsid w:val="004D2CAA"/>
    <w:rsid w:val="004D2E74"/>
    <w:rsid w:val="004D3209"/>
    <w:rsid w:val="004D357F"/>
    <w:rsid w:val="004D362A"/>
    <w:rsid w:val="004D3ED6"/>
    <w:rsid w:val="004D40DA"/>
    <w:rsid w:val="004D4288"/>
    <w:rsid w:val="004D49B6"/>
    <w:rsid w:val="004D49B9"/>
    <w:rsid w:val="004D51DB"/>
    <w:rsid w:val="004D532A"/>
    <w:rsid w:val="004D537D"/>
    <w:rsid w:val="004D53B3"/>
    <w:rsid w:val="004D5439"/>
    <w:rsid w:val="004D5478"/>
    <w:rsid w:val="004D556A"/>
    <w:rsid w:val="004D5583"/>
    <w:rsid w:val="004D5C9D"/>
    <w:rsid w:val="004D5F8C"/>
    <w:rsid w:val="004D653F"/>
    <w:rsid w:val="004D65F1"/>
    <w:rsid w:val="004D67F0"/>
    <w:rsid w:val="004D6CB8"/>
    <w:rsid w:val="004D6D35"/>
    <w:rsid w:val="004D6D6B"/>
    <w:rsid w:val="004D6F48"/>
    <w:rsid w:val="004D7029"/>
    <w:rsid w:val="004D7536"/>
    <w:rsid w:val="004E0259"/>
    <w:rsid w:val="004E0B35"/>
    <w:rsid w:val="004E0DB1"/>
    <w:rsid w:val="004E0FDE"/>
    <w:rsid w:val="004E187C"/>
    <w:rsid w:val="004E1C58"/>
    <w:rsid w:val="004E1F6D"/>
    <w:rsid w:val="004E1FD5"/>
    <w:rsid w:val="004E205A"/>
    <w:rsid w:val="004E2414"/>
    <w:rsid w:val="004E2B7C"/>
    <w:rsid w:val="004E2F32"/>
    <w:rsid w:val="004E33B3"/>
    <w:rsid w:val="004E3826"/>
    <w:rsid w:val="004E38E3"/>
    <w:rsid w:val="004E3DF0"/>
    <w:rsid w:val="004E3F79"/>
    <w:rsid w:val="004E4514"/>
    <w:rsid w:val="004E4618"/>
    <w:rsid w:val="004E489D"/>
    <w:rsid w:val="004E48B7"/>
    <w:rsid w:val="004E48BE"/>
    <w:rsid w:val="004E4ABB"/>
    <w:rsid w:val="004E4FA0"/>
    <w:rsid w:val="004E5584"/>
    <w:rsid w:val="004E5D2F"/>
    <w:rsid w:val="004E6078"/>
    <w:rsid w:val="004E62E8"/>
    <w:rsid w:val="004E6559"/>
    <w:rsid w:val="004E657F"/>
    <w:rsid w:val="004E6875"/>
    <w:rsid w:val="004E6C1D"/>
    <w:rsid w:val="004E71B3"/>
    <w:rsid w:val="004E74F4"/>
    <w:rsid w:val="004E76E9"/>
    <w:rsid w:val="004E77DF"/>
    <w:rsid w:val="004E795D"/>
    <w:rsid w:val="004F0049"/>
    <w:rsid w:val="004F0153"/>
    <w:rsid w:val="004F04DD"/>
    <w:rsid w:val="004F0608"/>
    <w:rsid w:val="004F06FD"/>
    <w:rsid w:val="004F1856"/>
    <w:rsid w:val="004F232F"/>
    <w:rsid w:val="004F2F8B"/>
    <w:rsid w:val="004F333D"/>
    <w:rsid w:val="004F34AE"/>
    <w:rsid w:val="004F3754"/>
    <w:rsid w:val="004F3856"/>
    <w:rsid w:val="004F395C"/>
    <w:rsid w:val="004F3F81"/>
    <w:rsid w:val="004F4756"/>
    <w:rsid w:val="004F4793"/>
    <w:rsid w:val="004F4B7C"/>
    <w:rsid w:val="004F4C71"/>
    <w:rsid w:val="004F4F24"/>
    <w:rsid w:val="004F53AF"/>
    <w:rsid w:val="004F5632"/>
    <w:rsid w:val="004F57F5"/>
    <w:rsid w:val="004F59B2"/>
    <w:rsid w:val="004F63F1"/>
    <w:rsid w:val="004F6432"/>
    <w:rsid w:val="004F741A"/>
    <w:rsid w:val="004F78B4"/>
    <w:rsid w:val="004F79DC"/>
    <w:rsid w:val="004F7A88"/>
    <w:rsid w:val="004F7DD4"/>
    <w:rsid w:val="00500308"/>
    <w:rsid w:val="00500882"/>
    <w:rsid w:val="00500D59"/>
    <w:rsid w:val="00501221"/>
    <w:rsid w:val="00501258"/>
    <w:rsid w:val="005012A6"/>
    <w:rsid w:val="005014D7"/>
    <w:rsid w:val="0050175D"/>
    <w:rsid w:val="00501C01"/>
    <w:rsid w:val="00501C66"/>
    <w:rsid w:val="00501EB4"/>
    <w:rsid w:val="00502149"/>
    <w:rsid w:val="00502207"/>
    <w:rsid w:val="005022B3"/>
    <w:rsid w:val="00502353"/>
    <w:rsid w:val="0050244B"/>
    <w:rsid w:val="00502604"/>
    <w:rsid w:val="00502D2C"/>
    <w:rsid w:val="005030EF"/>
    <w:rsid w:val="00503503"/>
    <w:rsid w:val="00503DD6"/>
    <w:rsid w:val="0050432E"/>
    <w:rsid w:val="00504C56"/>
    <w:rsid w:val="00504CAE"/>
    <w:rsid w:val="00505013"/>
    <w:rsid w:val="005055ED"/>
    <w:rsid w:val="005056DE"/>
    <w:rsid w:val="00505A03"/>
    <w:rsid w:val="00505AFB"/>
    <w:rsid w:val="00505ED1"/>
    <w:rsid w:val="005063BF"/>
    <w:rsid w:val="0050677F"/>
    <w:rsid w:val="00506A1C"/>
    <w:rsid w:val="00506F94"/>
    <w:rsid w:val="00507037"/>
    <w:rsid w:val="005071CB"/>
    <w:rsid w:val="005071FA"/>
    <w:rsid w:val="00507474"/>
    <w:rsid w:val="005075BC"/>
    <w:rsid w:val="00507B1A"/>
    <w:rsid w:val="005113B4"/>
    <w:rsid w:val="00511689"/>
    <w:rsid w:val="00511A64"/>
    <w:rsid w:val="00511AA7"/>
    <w:rsid w:val="00511E47"/>
    <w:rsid w:val="00511E8A"/>
    <w:rsid w:val="0051219F"/>
    <w:rsid w:val="005121BE"/>
    <w:rsid w:val="00513232"/>
    <w:rsid w:val="0051337A"/>
    <w:rsid w:val="005136B3"/>
    <w:rsid w:val="00513BD3"/>
    <w:rsid w:val="005143E0"/>
    <w:rsid w:val="00514BD8"/>
    <w:rsid w:val="00514EF3"/>
    <w:rsid w:val="0051519A"/>
    <w:rsid w:val="00515291"/>
    <w:rsid w:val="00515366"/>
    <w:rsid w:val="00515C1D"/>
    <w:rsid w:val="00515C2A"/>
    <w:rsid w:val="00515FC3"/>
    <w:rsid w:val="00516914"/>
    <w:rsid w:val="00516E64"/>
    <w:rsid w:val="005174B7"/>
    <w:rsid w:val="00517539"/>
    <w:rsid w:val="00517620"/>
    <w:rsid w:val="0052008C"/>
    <w:rsid w:val="00520322"/>
    <w:rsid w:val="00520980"/>
    <w:rsid w:val="00520E38"/>
    <w:rsid w:val="00520E7C"/>
    <w:rsid w:val="00520EAB"/>
    <w:rsid w:val="005212CC"/>
    <w:rsid w:val="00521711"/>
    <w:rsid w:val="00521C6F"/>
    <w:rsid w:val="00521D0A"/>
    <w:rsid w:val="00521E0F"/>
    <w:rsid w:val="005225AD"/>
    <w:rsid w:val="00522697"/>
    <w:rsid w:val="00522746"/>
    <w:rsid w:val="00522C78"/>
    <w:rsid w:val="00522E1E"/>
    <w:rsid w:val="005231DD"/>
    <w:rsid w:val="00523325"/>
    <w:rsid w:val="005233C0"/>
    <w:rsid w:val="005234B1"/>
    <w:rsid w:val="005238A2"/>
    <w:rsid w:val="00523C0F"/>
    <w:rsid w:val="00523EE1"/>
    <w:rsid w:val="00523FCF"/>
    <w:rsid w:val="0052519B"/>
    <w:rsid w:val="0052547E"/>
    <w:rsid w:val="00525543"/>
    <w:rsid w:val="00525592"/>
    <w:rsid w:val="00526320"/>
    <w:rsid w:val="005264AC"/>
    <w:rsid w:val="00526A46"/>
    <w:rsid w:val="00526C6A"/>
    <w:rsid w:val="00526E05"/>
    <w:rsid w:val="00526FBF"/>
    <w:rsid w:val="00527676"/>
    <w:rsid w:val="00527E06"/>
    <w:rsid w:val="00527F9F"/>
    <w:rsid w:val="00530334"/>
    <w:rsid w:val="00530B16"/>
    <w:rsid w:val="00530CAB"/>
    <w:rsid w:val="00530E23"/>
    <w:rsid w:val="00530F2F"/>
    <w:rsid w:val="00531005"/>
    <w:rsid w:val="00531038"/>
    <w:rsid w:val="00531365"/>
    <w:rsid w:val="005322DF"/>
    <w:rsid w:val="005323FF"/>
    <w:rsid w:val="00532498"/>
    <w:rsid w:val="005324FC"/>
    <w:rsid w:val="0053287C"/>
    <w:rsid w:val="00532C06"/>
    <w:rsid w:val="00532C97"/>
    <w:rsid w:val="0053342B"/>
    <w:rsid w:val="0053364C"/>
    <w:rsid w:val="0053387D"/>
    <w:rsid w:val="00533C28"/>
    <w:rsid w:val="00533C5E"/>
    <w:rsid w:val="00533FEC"/>
    <w:rsid w:val="0053442C"/>
    <w:rsid w:val="005344F1"/>
    <w:rsid w:val="00534973"/>
    <w:rsid w:val="005353F6"/>
    <w:rsid w:val="00535553"/>
    <w:rsid w:val="00535C0F"/>
    <w:rsid w:val="005365F9"/>
    <w:rsid w:val="005367C0"/>
    <w:rsid w:val="00536D36"/>
    <w:rsid w:val="0053701C"/>
    <w:rsid w:val="00537483"/>
    <w:rsid w:val="005377F2"/>
    <w:rsid w:val="00537A4E"/>
    <w:rsid w:val="00537B34"/>
    <w:rsid w:val="00540887"/>
    <w:rsid w:val="00540971"/>
    <w:rsid w:val="0054116D"/>
    <w:rsid w:val="00541656"/>
    <w:rsid w:val="00541E45"/>
    <w:rsid w:val="00541E78"/>
    <w:rsid w:val="0054277E"/>
    <w:rsid w:val="0054283C"/>
    <w:rsid w:val="005428EA"/>
    <w:rsid w:val="0054295C"/>
    <w:rsid w:val="00542DF6"/>
    <w:rsid w:val="00542E6A"/>
    <w:rsid w:val="00543139"/>
    <w:rsid w:val="005434FC"/>
    <w:rsid w:val="005435D5"/>
    <w:rsid w:val="0054360B"/>
    <w:rsid w:val="00543729"/>
    <w:rsid w:val="00543B6B"/>
    <w:rsid w:val="00543F24"/>
    <w:rsid w:val="005442EE"/>
    <w:rsid w:val="005446EA"/>
    <w:rsid w:val="00544A1A"/>
    <w:rsid w:val="00544B46"/>
    <w:rsid w:val="00544CE2"/>
    <w:rsid w:val="00544F13"/>
    <w:rsid w:val="00544FE4"/>
    <w:rsid w:val="00545F83"/>
    <w:rsid w:val="005460DC"/>
    <w:rsid w:val="005461C1"/>
    <w:rsid w:val="00546889"/>
    <w:rsid w:val="005470DE"/>
    <w:rsid w:val="005471A8"/>
    <w:rsid w:val="005474FC"/>
    <w:rsid w:val="00547567"/>
    <w:rsid w:val="0054758E"/>
    <w:rsid w:val="00547648"/>
    <w:rsid w:val="00550850"/>
    <w:rsid w:val="00550905"/>
    <w:rsid w:val="00550BA7"/>
    <w:rsid w:val="00550C22"/>
    <w:rsid w:val="00551066"/>
    <w:rsid w:val="00551345"/>
    <w:rsid w:val="005516A9"/>
    <w:rsid w:val="00551A34"/>
    <w:rsid w:val="00551B78"/>
    <w:rsid w:val="0055284B"/>
    <w:rsid w:val="00552A89"/>
    <w:rsid w:val="00553000"/>
    <w:rsid w:val="0055316E"/>
    <w:rsid w:val="00553563"/>
    <w:rsid w:val="005536C7"/>
    <w:rsid w:val="00553A1B"/>
    <w:rsid w:val="00553F26"/>
    <w:rsid w:val="005540C2"/>
    <w:rsid w:val="00554177"/>
    <w:rsid w:val="005547A4"/>
    <w:rsid w:val="00554B89"/>
    <w:rsid w:val="00554EB3"/>
    <w:rsid w:val="00555006"/>
    <w:rsid w:val="005552AE"/>
    <w:rsid w:val="0055556D"/>
    <w:rsid w:val="00556222"/>
    <w:rsid w:val="005564E2"/>
    <w:rsid w:val="0055765E"/>
    <w:rsid w:val="005577F2"/>
    <w:rsid w:val="00557A88"/>
    <w:rsid w:val="00557BBF"/>
    <w:rsid w:val="00557EB1"/>
    <w:rsid w:val="005602E3"/>
    <w:rsid w:val="005603BE"/>
    <w:rsid w:val="00560591"/>
    <w:rsid w:val="00560785"/>
    <w:rsid w:val="00560E8A"/>
    <w:rsid w:val="005612EF"/>
    <w:rsid w:val="00561342"/>
    <w:rsid w:val="005617D0"/>
    <w:rsid w:val="0056185D"/>
    <w:rsid w:val="00561C27"/>
    <w:rsid w:val="00561F4E"/>
    <w:rsid w:val="005627AA"/>
    <w:rsid w:val="0056281D"/>
    <w:rsid w:val="00562D56"/>
    <w:rsid w:val="00562E3B"/>
    <w:rsid w:val="00562FD2"/>
    <w:rsid w:val="005638E9"/>
    <w:rsid w:val="00563F93"/>
    <w:rsid w:val="00564053"/>
    <w:rsid w:val="005640AF"/>
    <w:rsid w:val="00564168"/>
    <w:rsid w:val="0056429F"/>
    <w:rsid w:val="005642A6"/>
    <w:rsid w:val="00564309"/>
    <w:rsid w:val="00564517"/>
    <w:rsid w:val="0056482B"/>
    <w:rsid w:val="00564E31"/>
    <w:rsid w:val="005652AD"/>
    <w:rsid w:val="00565589"/>
    <w:rsid w:val="0056602D"/>
    <w:rsid w:val="005660D1"/>
    <w:rsid w:val="00566250"/>
    <w:rsid w:val="0056684A"/>
    <w:rsid w:val="005669F4"/>
    <w:rsid w:val="00566D3B"/>
    <w:rsid w:val="00567069"/>
    <w:rsid w:val="0056756A"/>
    <w:rsid w:val="00570201"/>
    <w:rsid w:val="0057075C"/>
    <w:rsid w:val="0057089A"/>
    <w:rsid w:val="00570A52"/>
    <w:rsid w:val="00570F31"/>
    <w:rsid w:val="00571039"/>
    <w:rsid w:val="0057134F"/>
    <w:rsid w:val="005719CD"/>
    <w:rsid w:val="005727BF"/>
    <w:rsid w:val="00573327"/>
    <w:rsid w:val="005735BF"/>
    <w:rsid w:val="00573A47"/>
    <w:rsid w:val="005741BB"/>
    <w:rsid w:val="00574AE9"/>
    <w:rsid w:val="005751FD"/>
    <w:rsid w:val="0057548C"/>
    <w:rsid w:val="00575716"/>
    <w:rsid w:val="00575975"/>
    <w:rsid w:val="0057635F"/>
    <w:rsid w:val="00576C6F"/>
    <w:rsid w:val="00576D48"/>
    <w:rsid w:val="00576FAC"/>
    <w:rsid w:val="00577040"/>
    <w:rsid w:val="005770E9"/>
    <w:rsid w:val="005775D9"/>
    <w:rsid w:val="0057778D"/>
    <w:rsid w:val="00577864"/>
    <w:rsid w:val="00577DFE"/>
    <w:rsid w:val="0058047D"/>
    <w:rsid w:val="00580496"/>
    <w:rsid w:val="00580A5F"/>
    <w:rsid w:val="00580E16"/>
    <w:rsid w:val="00580E62"/>
    <w:rsid w:val="005817BD"/>
    <w:rsid w:val="005817EF"/>
    <w:rsid w:val="00581F23"/>
    <w:rsid w:val="00581FF8"/>
    <w:rsid w:val="0058202B"/>
    <w:rsid w:val="00582AD3"/>
    <w:rsid w:val="00583045"/>
    <w:rsid w:val="005831C2"/>
    <w:rsid w:val="005834D4"/>
    <w:rsid w:val="005838D8"/>
    <w:rsid w:val="00583CD6"/>
    <w:rsid w:val="00584690"/>
    <w:rsid w:val="00584994"/>
    <w:rsid w:val="00584BCD"/>
    <w:rsid w:val="00584F14"/>
    <w:rsid w:val="005851DA"/>
    <w:rsid w:val="00585464"/>
    <w:rsid w:val="005856AC"/>
    <w:rsid w:val="005857D1"/>
    <w:rsid w:val="00585C45"/>
    <w:rsid w:val="00586202"/>
    <w:rsid w:val="00586282"/>
    <w:rsid w:val="00586416"/>
    <w:rsid w:val="00586625"/>
    <w:rsid w:val="0058680A"/>
    <w:rsid w:val="005868BC"/>
    <w:rsid w:val="00586AAD"/>
    <w:rsid w:val="00586D84"/>
    <w:rsid w:val="00586FEF"/>
    <w:rsid w:val="00587031"/>
    <w:rsid w:val="005874B6"/>
    <w:rsid w:val="00587708"/>
    <w:rsid w:val="00587BBF"/>
    <w:rsid w:val="00587CD2"/>
    <w:rsid w:val="00587ED8"/>
    <w:rsid w:val="00590166"/>
    <w:rsid w:val="005904AD"/>
    <w:rsid w:val="00590713"/>
    <w:rsid w:val="00590733"/>
    <w:rsid w:val="00590DC4"/>
    <w:rsid w:val="00590E07"/>
    <w:rsid w:val="005915CA"/>
    <w:rsid w:val="0059171F"/>
    <w:rsid w:val="005917A3"/>
    <w:rsid w:val="00591B82"/>
    <w:rsid w:val="00591B8F"/>
    <w:rsid w:val="00591EFA"/>
    <w:rsid w:val="00592141"/>
    <w:rsid w:val="005922F4"/>
    <w:rsid w:val="005926B9"/>
    <w:rsid w:val="00592C77"/>
    <w:rsid w:val="00592CEA"/>
    <w:rsid w:val="005933BC"/>
    <w:rsid w:val="00593ADF"/>
    <w:rsid w:val="00593AEF"/>
    <w:rsid w:val="00593C03"/>
    <w:rsid w:val="00594B0B"/>
    <w:rsid w:val="00594DC3"/>
    <w:rsid w:val="00594F36"/>
    <w:rsid w:val="00595976"/>
    <w:rsid w:val="00595EA7"/>
    <w:rsid w:val="00595F29"/>
    <w:rsid w:val="00595FC8"/>
    <w:rsid w:val="005960F6"/>
    <w:rsid w:val="0059619A"/>
    <w:rsid w:val="005964C2"/>
    <w:rsid w:val="00596840"/>
    <w:rsid w:val="00596D1A"/>
    <w:rsid w:val="0059790D"/>
    <w:rsid w:val="005A03A9"/>
    <w:rsid w:val="005A096E"/>
    <w:rsid w:val="005A0A03"/>
    <w:rsid w:val="005A0D27"/>
    <w:rsid w:val="005A0F97"/>
    <w:rsid w:val="005A10CF"/>
    <w:rsid w:val="005A115C"/>
    <w:rsid w:val="005A1F23"/>
    <w:rsid w:val="005A2100"/>
    <w:rsid w:val="005A279D"/>
    <w:rsid w:val="005A2C75"/>
    <w:rsid w:val="005A4001"/>
    <w:rsid w:val="005A402B"/>
    <w:rsid w:val="005A4856"/>
    <w:rsid w:val="005A4979"/>
    <w:rsid w:val="005A4C88"/>
    <w:rsid w:val="005A4D2C"/>
    <w:rsid w:val="005A50B5"/>
    <w:rsid w:val="005A6442"/>
    <w:rsid w:val="005A6606"/>
    <w:rsid w:val="005A6DED"/>
    <w:rsid w:val="005A6EBB"/>
    <w:rsid w:val="005A74C7"/>
    <w:rsid w:val="005B017C"/>
    <w:rsid w:val="005B06CD"/>
    <w:rsid w:val="005B0DA8"/>
    <w:rsid w:val="005B1511"/>
    <w:rsid w:val="005B19F2"/>
    <w:rsid w:val="005B200E"/>
    <w:rsid w:val="005B20DF"/>
    <w:rsid w:val="005B21BE"/>
    <w:rsid w:val="005B321A"/>
    <w:rsid w:val="005B3BAC"/>
    <w:rsid w:val="005B3ED8"/>
    <w:rsid w:val="005B40CD"/>
    <w:rsid w:val="005B51DF"/>
    <w:rsid w:val="005B61DB"/>
    <w:rsid w:val="005B647C"/>
    <w:rsid w:val="005B668A"/>
    <w:rsid w:val="005B721F"/>
    <w:rsid w:val="005B766D"/>
    <w:rsid w:val="005C0209"/>
    <w:rsid w:val="005C0272"/>
    <w:rsid w:val="005C03D4"/>
    <w:rsid w:val="005C0669"/>
    <w:rsid w:val="005C0D03"/>
    <w:rsid w:val="005C0D1C"/>
    <w:rsid w:val="005C0F37"/>
    <w:rsid w:val="005C0F53"/>
    <w:rsid w:val="005C1301"/>
    <w:rsid w:val="005C15C4"/>
    <w:rsid w:val="005C1701"/>
    <w:rsid w:val="005C1E56"/>
    <w:rsid w:val="005C274D"/>
    <w:rsid w:val="005C27CB"/>
    <w:rsid w:val="005C2CC3"/>
    <w:rsid w:val="005C3777"/>
    <w:rsid w:val="005C48D6"/>
    <w:rsid w:val="005C49CF"/>
    <w:rsid w:val="005C4A76"/>
    <w:rsid w:val="005C5109"/>
    <w:rsid w:val="005C52A0"/>
    <w:rsid w:val="005C52A9"/>
    <w:rsid w:val="005C5320"/>
    <w:rsid w:val="005C5544"/>
    <w:rsid w:val="005C5694"/>
    <w:rsid w:val="005C5EEA"/>
    <w:rsid w:val="005C67D7"/>
    <w:rsid w:val="005C6F44"/>
    <w:rsid w:val="005C6F64"/>
    <w:rsid w:val="005C775D"/>
    <w:rsid w:val="005C7E16"/>
    <w:rsid w:val="005D11C6"/>
    <w:rsid w:val="005D14D7"/>
    <w:rsid w:val="005D158D"/>
    <w:rsid w:val="005D1C4D"/>
    <w:rsid w:val="005D2110"/>
    <w:rsid w:val="005D22B6"/>
    <w:rsid w:val="005D230F"/>
    <w:rsid w:val="005D2D8F"/>
    <w:rsid w:val="005D2E42"/>
    <w:rsid w:val="005D3B9E"/>
    <w:rsid w:val="005D3E1D"/>
    <w:rsid w:val="005D4267"/>
    <w:rsid w:val="005D4572"/>
    <w:rsid w:val="005D4581"/>
    <w:rsid w:val="005D49BB"/>
    <w:rsid w:val="005D5C95"/>
    <w:rsid w:val="005D6092"/>
    <w:rsid w:val="005D6F6E"/>
    <w:rsid w:val="005D717A"/>
    <w:rsid w:val="005D7596"/>
    <w:rsid w:val="005D7CC9"/>
    <w:rsid w:val="005D7DC4"/>
    <w:rsid w:val="005D7E63"/>
    <w:rsid w:val="005E0255"/>
    <w:rsid w:val="005E0374"/>
    <w:rsid w:val="005E05C3"/>
    <w:rsid w:val="005E0826"/>
    <w:rsid w:val="005E0AA1"/>
    <w:rsid w:val="005E0AAD"/>
    <w:rsid w:val="005E0BFE"/>
    <w:rsid w:val="005E0E17"/>
    <w:rsid w:val="005E0E47"/>
    <w:rsid w:val="005E10F5"/>
    <w:rsid w:val="005E11DF"/>
    <w:rsid w:val="005E14F8"/>
    <w:rsid w:val="005E1679"/>
    <w:rsid w:val="005E186E"/>
    <w:rsid w:val="005E2798"/>
    <w:rsid w:val="005E2A0E"/>
    <w:rsid w:val="005E2C1C"/>
    <w:rsid w:val="005E3081"/>
    <w:rsid w:val="005E3105"/>
    <w:rsid w:val="005E3165"/>
    <w:rsid w:val="005E39FF"/>
    <w:rsid w:val="005E3ABE"/>
    <w:rsid w:val="005E3FC6"/>
    <w:rsid w:val="005E4136"/>
    <w:rsid w:val="005E424B"/>
    <w:rsid w:val="005E48C7"/>
    <w:rsid w:val="005E48FE"/>
    <w:rsid w:val="005E511F"/>
    <w:rsid w:val="005E538C"/>
    <w:rsid w:val="005E5CE2"/>
    <w:rsid w:val="005E5FC9"/>
    <w:rsid w:val="005E6794"/>
    <w:rsid w:val="005E6C7A"/>
    <w:rsid w:val="005E6E6F"/>
    <w:rsid w:val="005E6F81"/>
    <w:rsid w:val="005E72BF"/>
    <w:rsid w:val="005E7F40"/>
    <w:rsid w:val="005F00EC"/>
    <w:rsid w:val="005F0253"/>
    <w:rsid w:val="005F08F0"/>
    <w:rsid w:val="005F0A2A"/>
    <w:rsid w:val="005F0A41"/>
    <w:rsid w:val="005F0AE1"/>
    <w:rsid w:val="005F0D7D"/>
    <w:rsid w:val="005F0E0C"/>
    <w:rsid w:val="005F1310"/>
    <w:rsid w:val="005F174A"/>
    <w:rsid w:val="005F2006"/>
    <w:rsid w:val="005F22D4"/>
    <w:rsid w:val="005F236B"/>
    <w:rsid w:val="005F277D"/>
    <w:rsid w:val="005F2834"/>
    <w:rsid w:val="005F284A"/>
    <w:rsid w:val="005F2893"/>
    <w:rsid w:val="005F2981"/>
    <w:rsid w:val="005F2FCD"/>
    <w:rsid w:val="005F33FA"/>
    <w:rsid w:val="005F3435"/>
    <w:rsid w:val="005F367C"/>
    <w:rsid w:val="005F3951"/>
    <w:rsid w:val="005F3BEA"/>
    <w:rsid w:val="005F3C9E"/>
    <w:rsid w:val="005F4040"/>
    <w:rsid w:val="005F4384"/>
    <w:rsid w:val="005F4994"/>
    <w:rsid w:val="005F4AB3"/>
    <w:rsid w:val="005F4BBC"/>
    <w:rsid w:val="005F5585"/>
    <w:rsid w:val="005F5990"/>
    <w:rsid w:val="005F6858"/>
    <w:rsid w:val="005F6A43"/>
    <w:rsid w:val="005F6CE9"/>
    <w:rsid w:val="005F6D93"/>
    <w:rsid w:val="005F7146"/>
    <w:rsid w:val="005F7417"/>
    <w:rsid w:val="005F7CF2"/>
    <w:rsid w:val="005F7DF4"/>
    <w:rsid w:val="005F7F47"/>
    <w:rsid w:val="006005D5"/>
    <w:rsid w:val="00601065"/>
    <w:rsid w:val="006011A5"/>
    <w:rsid w:val="006011C8"/>
    <w:rsid w:val="00601616"/>
    <w:rsid w:val="00601617"/>
    <w:rsid w:val="006017A8"/>
    <w:rsid w:val="00601CFA"/>
    <w:rsid w:val="0060218F"/>
    <w:rsid w:val="006023F0"/>
    <w:rsid w:val="006024F6"/>
    <w:rsid w:val="006030ED"/>
    <w:rsid w:val="006031B8"/>
    <w:rsid w:val="00603338"/>
    <w:rsid w:val="00603636"/>
    <w:rsid w:val="00603E6E"/>
    <w:rsid w:val="00604DA1"/>
    <w:rsid w:val="00604DDF"/>
    <w:rsid w:val="00605CB5"/>
    <w:rsid w:val="00605D35"/>
    <w:rsid w:val="006065C6"/>
    <w:rsid w:val="006066BD"/>
    <w:rsid w:val="00606A6E"/>
    <w:rsid w:val="00606ACC"/>
    <w:rsid w:val="00606EE2"/>
    <w:rsid w:val="00606F61"/>
    <w:rsid w:val="00607199"/>
    <w:rsid w:val="00607791"/>
    <w:rsid w:val="0061016E"/>
    <w:rsid w:val="006106F7"/>
    <w:rsid w:val="006108D7"/>
    <w:rsid w:val="00610A80"/>
    <w:rsid w:val="00610C2D"/>
    <w:rsid w:val="00611012"/>
    <w:rsid w:val="0061124C"/>
    <w:rsid w:val="00611326"/>
    <w:rsid w:val="00611769"/>
    <w:rsid w:val="00612564"/>
    <w:rsid w:val="0061259D"/>
    <w:rsid w:val="00612876"/>
    <w:rsid w:val="0061334B"/>
    <w:rsid w:val="00613BA3"/>
    <w:rsid w:val="00613D94"/>
    <w:rsid w:val="00614745"/>
    <w:rsid w:val="00614841"/>
    <w:rsid w:val="00614B98"/>
    <w:rsid w:val="00614E89"/>
    <w:rsid w:val="006150C0"/>
    <w:rsid w:val="00615194"/>
    <w:rsid w:val="0061519F"/>
    <w:rsid w:val="006153AB"/>
    <w:rsid w:val="00615755"/>
    <w:rsid w:val="0061614D"/>
    <w:rsid w:val="00616334"/>
    <w:rsid w:val="006164C1"/>
    <w:rsid w:val="00616899"/>
    <w:rsid w:val="00617083"/>
    <w:rsid w:val="006204D2"/>
    <w:rsid w:val="006205FE"/>
    <w:rsid w:val="0062118F"/>
    <w:rsid w:val="00621C90"/>
    <w:rsid w:val="006220C5"/>
    <w:rsid w:val="00622242"/>
    <w:rsid w:val="00622F3E"/>
    <w:rsid w:val="00623026"/>
    <w:rsid w:val="00623462"/>
    <w:rsid w:val="00624295"/>
    <w:rsid w:val="006244D2"/>
    <w:rsid w:val="00624AF5"/>
    <w:rsid w:val="00624D71"/>
    <w:rsid w:val="00624FDC"/>
    <w:rsid w:val="00625041"/>
    <w:rsid w:val="00625857"/>
    <w:rsid w:val="0062610E"/>
    <w:rsid w:val="00626AD5"/>
    <w:rsid w:val="00626DD7"/>
    <w:rsid w:val="00627817"/>
    <w:rsid w:val="00627C82"/>
    <w:rsid w:val="00627E94"/>
    <w:rsid w:val="00630744"/>
    <w:rsid w:val="006312A8"/>
    <w:rsid w:val="00631353"/>
    <w:rsid w:val="006317EF"/>
    <w:rsid w:val="006319F6"/>
    <w:rsid w:val="00631BE7"/>
    <w:rsid w:val="00631DF1"/>
    <w:rsid w:val="00632056"/>
    <w:rsid w:val="0063236D"/>
    <w:rsid w:val="00632A47"/>
    <w:rsid w:val="00632B71"/>
    <w:rsid w:val="00632BBF"/>
    <w:rsid w:val="00632EEC"/>
    <w:rsid w:val="00632F76"/>
    <w:rsid w:val="00633816"/>
    <w:rsid w:val="00633A7B"/>
    <w:rsid w:val="00633B36"/>
    <w:rsid w:val="00634586"/>
    <w:rsid w:val="0063473B"/>
    <w:rsid w:val="00634EF4"/>
    <w:rsid w:val="0063528B"/>
    <w:rsid w:val="006353C3"/>
    <w:rsid w:val="00635B41"/>
    <w:rsid w:val="00635FC0"/>
    <w:rsid w:val="0063685F"/>
    <w:rsid w:val="00636AA8"/>
    <w:rsid w:val="00636AD8"/>
    <w:rsid w:val="00636B76"/>
    <w:rsid w:val="00637316"/>
    <w:rsid w:val="00637642"/>
    <w:rsid w:val="006376C3"/>
    <w:rsid w:val="006376CB"/>
    <w:rsid w:val="00637D3E"/>
    <w:rsid w:val="00637FA0"/>
    <w:rsid w:val="00640461"/>
    <w:rsid w:val="0064059D"/>
    <w:rsid w:val="00640A4E"/>
    <w:rsid w:val="00640D68"/>
    <w:rsid w:val="00640D85"/>
    <w:rsid w:val="00641A0A"/>
    <w:rsid w:val="00641A57"/>
    <w:rsid w:val="00642497"/>
    <w:rsid w:val="00642B90"/>
    <w:rsid w:val="00642C07"/>
    <w:rsid w:val="00643A6C"/>
    <w:rsid w:val="00644147"/>
    <w:rsid w:val="0064448B"/>
    <w:rsid w:val="00644A27"/>
    <w:rsid w:val="00644C62"/>
    <w:rsid w:val="0064506A"/>
    <w:rsid w:val="00645175"/>
    <w:rsid w:val="006453AF"/>
    <w:rsid w:val="00645A75"/>
    <w:rsid w:val="00645AE6"/>
    <w:rsid w:val="00645F58"/>
    <w:rsid w:val="00646404"/>
    <w:rsid w:val="0064685D"/>
    <w:rsid w:val="00646D80"/>
    <w:rsid w:val="00646D8B"/>
    <w:rsid w:val="006471C7"/>
    <w:rsid w:val="0064750F"/>
    <w:rsid w:val="0064756A"/>
    <w:rsid w:val="00647D09"/>
    <w:rsid w:val="00650456"/>
    <w:rsid w:val="00650493"/>
    <w:rsid w:val="00650E95"/>
    <w:rsid w:val="0065136B"/>
    <w:rsid w:val="0065139B"/>
    <w:rsid w:val="006514F7"/>
    <w:rsid w:val="006516F1"/>
    <w:rsid w:val="006518F7"/>
    <w:rsid w:val="00651A0C"/>
    <w:rsid w:val="00651C15"/>
    <w:rsid w:val="00651CEC"/>
    <w:rsid w:val="00651DB7"/>
    <w:rsid w:val="0065253E"/>
    <w:rsid w:val="00652C6C"/>
    <w:rsid w:val="00652F1C"/>
    <w:rsid w:val="00653593"/>
    <w:rsid w:val="0065366A"/>
    <w:rsid w:val="00654C18"/>
    <w:rsid w:val="006553D7"/>
    <w:rsid w:val="006553E0"/>
    <w:rsid w:val="00655D74"/>
    <w:rsid w:val="00655F06"/>
    <w:rsid w:val="006561E9"/>
    <w:rsid w:val="00656213"/>
    <w:rsid w:val="00656654"/>
    <w:rsid w:val="00656B45"/>
    <w:rsid w:val="00657D2D"/>
    <w:rsid w:val="00657EF5"/>
    <w:rsid w:val="00660748"/>
    <w:rsid w:val="006608EA"/>
    <w:rsid w:val="00660AA4"/>
    <w:rsid w:val="00660F2C"/>
    <w:rsid w:val="00661077"/>
    <w:rsid w:val="0066121E"/>
    <w:rsid w:val="006616C0"/>
    <w:rsid w:val="00661F35"/>
    <w:rsid w:val="006621E1"/>
    <w:rsid w:val="00662367"/>
    <w:rsid w:val="006625A5"/>
    <w:rsid w:val="006625C1"/>
    <w:rsid w:val="006641FD"/>
    <w:rsid w:val="00664225"/>
    <w:rsid w:val="00664587"/>
    <w:rsid w:val="006648D8"/>
    <w:rsid w:val="00664D04"/>
    <w:rsid w:val="00665B91"/>
    <w:rsid w:val="006667C5"/>
    <w:rsid w:val="006668F8"/>
    <w:rsid w:val="006669E5"/>
    <w:rsid w:val="00666D29"/>
    <w:rsid w:val="006672B4"/>
    <w:rsid w:val="00667405"/>
    <w:rsid w:val="0066750C"/>
    <w:rsid w:val="0066779B"/>
    <w:rsid w:val="00667C0E"/>
    <w:rsid w:val="00670154"/>
    <w:rsid w:val="00670327"/>
    <w:rsid w:val="00670870"/>
    <w:rsid w:val="00670DC1"/>
    <w:rsid w:val="00670DF7"/>
    <w:rsid w:val="00670F8F"/>
    <w:rsid w:val="00671030"/>
    <w:rsid w:val="00671277"/>
    <w:rsid w:val="00671342"/>
    <w:rsid w:val="00671B08"/>
    <w:rsid w:val="00671C0B"/>
    <w:rsid w:val="00672908"/>
    <w:rsid w:val="00672CD1"/>
    <w:rsid w:val="00673414"/>
    <w:rsid w:val="006738D4"/>
    <w:rsid w:val="006738E2"/>
    <w:rsid w:val="00673EAA"/>
    <w:rsid w:val="00673FE5"/>
    <w:rsid w:val="006744A6"/>
    <w:rsid w:val="00675233"/>
    <w:rsid w:val="006754A7"/>
    <w:rsid w:val="00675745"/>
    <w:rsid w:val="006758CC"/>
    <w:rsid w:val="00675DF7"/>
    <w:rsid w:val="00675FFD"/>
    <w:rsid w:val="00676101"/>
    <w:rsid w:val="0067637D"/>
    <w:rsid w:val="00676AE7"/>
    <w:rsid w:val="00676E2A"/>
    <w:rsid w:val="00676EA2"/>
    <w:rsid w:val="00676F17"/>
    <w:rsid w:val="0067718C"/>
    <w:rsid w:val="006779B5"/>
    <w:rsid w:val="00677C9B"/>
    <w:rsid w:val="00677D31"/>
    <w:rsid w:val="00677D95"/>
    <w:rsid w:val="0068062C"/>
    <w:rsid w:val="00680992"/>
    <w:rsid w:val="00680A79"/>
    <w:rsid w:val="00680B6D"/>
    <w:rsid w:val="00680D82"/>
    <w:rsid w:val="00680E04"/>
    <w:rsid w:val="00681543"/>
    <w:rsid w:val="00681A2D"/>
    <w:rsid w:val="006824FC"/>
    <w:rsid w:val="006826ED"/>
    <w:rsid w:val="006828F6"/>
    <w:rsid w:val="006829A7"/>
    <w:rsid w:val="00682A01"/>
    <w:rsid w:val="00682F95"/>
    <w:rsid w:val="0068325B"/>
    <w:rsid w:val="00683346"/>
    <w:rsid w:val="0068337A"/>
    <w:rsid w:val="00683961"/>
    <w:rsid w:val="00684105"/>
    <w:rsid w:val="00684550"/>
    <w:rsid w:val="00684C69"/>
    <w:rsid w:val="006854B4"/>
    <w:rsid w:val="00685749"/>
    <w:rsid w:val="006864D9"/>
    <w:rsid w:val="0068683A"/>
    <w:rsid w:val="00686B77"/>
    <w:rsid w:val="00687DD0"/>
    <w:rsid w:val="006900E0"/>
    <w:rsid w:val="0069027E"/>
    <w:rsid w:val="0069054A"/>
    <w:rsid w:val="006906AE"/>
    <w:rsid w:val="00690A20"/>
    <w:rsid w:val="00690C84"/>
    <w:rsid w:val="006910BF"/>
    <w:rsid w:val="006910F2"/>
    <w:rsid w:val="00691206"/>
    <w:rsid w:val="0069157A"/>
    <w:rsid w:val="0069158C"/>
    <w:rsid w:val="00691C25"/>
    <w:rsid w:val="00691CC0"/>
    <w:rsid w:val="00691DC3"/>
    <w:rsid w:val="00692550"/>
    <w:rsid w:val="00692A54"/>
    <w:rsid w:val="00692C75"/>
    <w:rsid w:val="0069350D"/>
    <w:rsid w:val="00693862"/>
    <w:rsid w:val="006946B2"/>
    <w:rsid w:val="0069494F"/>
    <w:rsid w:val="00694B6A"/>
    <w:rsid w:val="00694FFC"/>
    <w:rsid w:val="00695241"/>
    <w:rsid w:val="0069550B"/>
    <w:rsid w:val="00695936"/>
    <w:rsid w:val="006959D2"/>
    <w:rsid w:val="00695CA9"/>
    <w:rsid w:val="0069617D"/>
    <w:rsid w:val="00696B4A"/>
    <w:rsid w:val="00696D35"/>
    <w:rsid w:val="00697000"/>
    <w:rsid w:val="0069734D"/>
    <w:rsid w:val="00697718"/>
    <w:rsid w:val="00697BAC"/>
    <w:rsid w:val="006A0791"/>
    <w:rsid w:val="006A0850"/>
    <w:rsid w:val="006A087D"/>
    <w:rsid w:val="006A0A3A"/>
    <w:rsid w:val="006A0B32"/>
    <w:rsid w:val="006A0EFD"/>
    <w:rsid w:val="006A113F"/>
    <w:rsid w:val="006A12B3"/>
    <w:rsid w:val="006A1F97"/>
    <w:rsid w:val="006A24B2"/>
    <w:rsid w:val="006A25C6"/>
    <w:rsid w:val="006A2769"/>
    <w:rsid w:val="006A2773"/>
    <w:rsid w:val="006A2A0F"/>
    <w:rsid w:val="006A2A15"/>
    <w:rsid w:val="006A3614"/>
    <w:rsid w:val="006A3618"/>
    <w:rsid w:val="006A38AD"/>
    <w:rsid w:val="006A4322"/>
    <w:rsid w:val="006A4E1E"/>
    <w:rsid w:val="006A512A"/>
    <w:rsid w:val="006A5655"/>
    <w:rsid w:val="006A56C5"/>
    <w:rsid w:val="006A5887"/>
    <w:rsid w:val="006A61EE"/>
    <w:rsid w:val="006A6755"/>
    <w:rsid w:val="006A6AF3"/>
    <w:rsid w:val="006A7086"/>
    <w:rsid w:val="006A766B"/>
    <w:rsid w:val="006A7822"/>
    <w:rsid w:val="006A78C3"/>
    <w:rsid w:val="006A7A6D"/>
    <w:rsid w:val="006A7D6E"/>
    <w:rsid w:val="006A7DC9"/>
    <w:rsid w:val="006B0472"/>
    <w:rsid w:val="006B0688"/>
    <w:rsid w:val="006B06A9"/>
    <w:rsid w:val="006B0AF2"/>
    <w:rsid w:val="006B0D62"/>
    <w:rsid w:val="006B0E68"/>
    <w:rsid w:val="006B139A"/>
    <w:rsid w:val="006B1B09"/>
    <w:rsid w:val="006B1EC4"/>
    <w:rsid w:val="006B32DB"/>
    <w:rsid w:val="006B359B"/>
    <w:rsid w:val="006B3615"/>
    <w:rsid w:val="006B3753"/>
    <w:rsid w:val="006B447E"/>
    <w:rsid w:val="006B457E"/>
    <w:rsid w:val="006B4721"/>
    <w:rsid w:val="006B48A9"/>
    <w:rsid w:val="006B4D5E"/>
    <w:rsid w:val="006B4DE6"/>
    <w:rsid w:val="006B4F9D"/>
    <w:rsid w:val="006B5298"/>
    <w:rsid w:val="006B582C"/>
    <w:rsid w:val="006B59E2"/>
    <w:rsid w:val="006B5A21"/>
    <w:rsid w:val="006B5C49"/>
    <w:rsid w:val="006B5F67"/>
    <w:rsid w:val="006B6408"/>
    <w:rsid w:val="006B666D"/>
    <w:rsid w:val="006B67F8"/>
    <w:rsid w:val="006B6969"/>
    <w:rsid w:val="006B6B8D"/>
    <w:rsid w:val="006B7328"/>
    <w:rsid w:val="006B7406"/>
    <w:rsid w:val="006B7ADC"/>
    <w:rsid w:val="006B7CB4"/>
    <w:rsid w:val="006C04E5"/>
    <w:rsid w:val="006C1DE8"/>
    <w:rsid w:val="006C21D7"/>
    <w:rsid w:val="006C244C"/>
    <w:rsid w:val="006C295A"/>
    <w:rsid w:val="006C2CB2"/>
    <w:rsid w:val="006C2E95"/>
    <w:rsid w:val="006C2F13"/>
    <w:rsid w:val="006C2FBC"/>
    <w:rsid w:val="006C3C44"/>
    <w:rsid w:val="006C3C65"/>
    <w:rsid w:val="006C3F0A"/>
    <w:rsid w:val="006C3F14"/>
    <w:rsid w:val="006C3FE8"/>
    <w:rsid w:val="006C40CE"/>
    <w:rsid w:val="006C4EC0"/>
    <w:rsid w:val="006C57D3"/>
    <w:rsid w:val="006C73AA"/>
    <w:rsid w:val="006C77C9"/>
    <w:rsid w:val="006C7CD6"/>
    <w:rsid w:val="006D0033"/>
    <w:rsid w:val="006D05F7"/>
    <w:rsid w:val="006D0786"/>
    <w:rsid w:val="006D0CD0"/>
    <w:rsid w:val="006D0D5C"/>
    <w:rsid w:val="006D16AC"/>
    <w:rsid w:val="006D16CB"/>
    <w:rsid w:val="006D186C"/>
    <w:rsid w:val="006D1961"/>
    <w:rsid w:val="006D2504"/>
    <w:rsid w:val="006D273E"/>
    <w:rsid w:val="006D2CDE"/>
    <w:rsid w:val="006D3013"/>
    <w:rsid w:val="006D30FC"/>
    <w:rsid w:val="006D32B1"/>
    <w:rsid w:val="006D3BBA"/>
    <w:rsid w:val="006D48BF"/>
    <w:rsid w:val="006D4D90"/>
    <w:rsid w:val="006D4DCF"/>
    <w:rsid w:val="006D5274"/>
    <w:rsid w:val="006D54B5"/>
    <w:rsid w:val="006D58ED"/>
    <w:rsid w:val="006D5C19"/>
    <w:rsid w:val="006D5D77"/>
    <w:rsid w:val="006D5DBF"/>
    <w:rsid w:val="006D63D2"/>
    <w:rsid w:val="006D650A"/>
    <w:rsid w:val="006D715D"/>
    <w:rsid w:val="006D75BE"/>
    <w:rsid w:val="006D7AE3"/>
    <w:rsid w:val="006E079A"/>
    <w:rsid w:val="006E09FC"/>
    <w:rsid w:val="006E0A19"/>
    <w:rsid w:val="006E138B"/>
    <w:rsid w:val="006E1498"/>
    <w:rsid w:val="006E17FE"/>
    <w:rsid w:val="006E1BB4"/>
    <w:rsid w:val="006E1C8C"/>
    <w:rsid w:val="006E1DD6"/>
    <w:rsid w:val="006E1EBC"/>
    <w:rsid w:val="006E2483"/>
    <w:rsid w:val="006E2916"/>
    <w:rsid w:val="006E2919"/>
    <w:rsid w:val="006E2B4C"/>
    <w:rsid w:val="006E2C62"/>
    <w:rsid w:val="006E330D"/>
    <w:rsid w:val="006E33B4"/>
    <w:rsid w:val="006E34CE"/>
    <w:rsid w:val="006E3709"/>
    <w:rsid w:val="006E37A7"/>
    <w:rsid w:val="006E37A8"/>
    <w:rsid w:val="006E38A9"/>
    <w:rsid w:val="006E3934"/>
    <w:rsid w:val="006E3A75"/>
    <w:rsid w:val="006E3BBD"/>
    <w:rsid w:val="006E3F73"/>
    <w:rsid w:val="006E492E"/>
    <w:rsid w:val="006E4952"/>
    <w:rsid w:val="006E4C65"/>
    <w:rsid w:val="006E5332"/>
    <w:rsid w:val="006E5396"/>
    <w:rsid w:val="006E611D"/>
    <w:rsid w:val="006E6300"/>
    <w:rsid w:val="006E6E6F"/>
    <w:rsid w:val="006E70CC"/>
    <w:rsid w:val="006E7544"/>
    <w:rsid w:val="006E7AE6"/>
    <w:rsid w:val="006E7D2E"/>
    <w:rsid w:val="006F0305"/>
    <w:rsid w:val="006F0722"/>
    <w:rsid w:val="006F086F"/>
    <w:rsid w:val="006F0A1D"/>
    <w:rsid w:val="006F0B4A"/>
    <w:rsid w:val="006F0D01"/>
    <w:rsid w:val="006F0D90"/>
    <w:rsid w:val="006F0F4C"/>
    <w:rsid w:val="006F10AF"/>
    <w:rsid w:val="006F11CD"/>
    <w:rsid w:val="006F1351"/>
    <w:rsid w:val="006F165C"/>
    <w:rsid w:val="006F25D7"/>
    <w:rsid w:val="006F29F6"/>
    <w:rsid w:val="006F2B44"/>
    <w:rsid w:val="006F2CAA"/>
    <w:rsid w:val="006F2E0D"/>
    <w:rsid w:val="006F2F89"/>
    <w:rsid w:val="006F31CD"/>
    <w:rsid w:val="006F36FE"/>
    <w:rsid w:val="006F394C"/>
    <w:rsid w:val="006F3E2C"/>
    <w:rsid w:val="006F3EC6"/>
    <w:rsid w:val="006F3F53"/>
    <w:rsid w:val="006F4230"/>
    <w:rsid w:val="006F429B"/>
    <w:rsid w:val="006F4905"/>
    <w:rsid w:val="006F5407"/>
    <w:rsid w:val="006F549C"/>
    <w:rsid w:val="006F5586"/>
    <w:rsid w:val="006F5D80"/>
    <w:rsid w:val="006F6684"/>
    <w:rsid w:val="006F6893"/>
    <w:rsid w:val="006F69E7"/>
    <w:rsid w:val="006F6C2B"/>
    <w:rsid w:val="006F6F40"/>
    <w:rsid w:val="006F7090"/>
    <w:rsid w:val="006F7773"/>
    <w:rsid w:val="006F7A6C"/>
    <w:rsid w:val="006F7C52"/>
    <w:rsid w:val="006F7DAC"/>
    <w:rsid w:val="006F7E48"/>
    <w:rsid w:val="007006D4"/>
    <w:rsid w:val="00700D64"/>
    <w:rsid w:val="00701096"/>
    <w:rsid w:val="007010C4"/>
    <w:rsid w:val="007012B1"/>
    <w:rsid w:val="007012C7"/>
    <w:rsid w:val="007018AA"/>
    <w:rsid w:val="00701E49"/>
    <w:rsid w:val="00701E85"/>
    <w:rsid w:val="0070264F"/>
    <w:rsid w:val="00702AA7"/>
    <w:rsid w:val="00702B83"/>
    <w:rsid w:val="00702D98"/>
    <w:rsid w:val="00703117"/>
    <w:rsid w:val="007033A7"/>
    <w:rsid w:val="0070381A"/>
    <w:rsid w:val="007038EE"/>
    <w:rsid w:val="007042C9"/>
    <w:rsid w:val="0070455D"/>
    <w:rsid w:val="00704AB7"/>
    <w:rsid w:val="00704FB5"/>
    <w:rsid w:val="007058B7"/>
    <w:rsid w:val="00705949"/>
    <w:rsid w:val="00705D1B"/>
    <w:rsid w:val="0070616A"/>
    <w:rsid w:val="00706233"/>
    <w:rsid w:val="0070693F"/>
    <w:rsid w:val="00706BAE"/>
    <w:rsid w:val="00706D50"/>
    <w:rsid w:val="0070765A"/>
    <w:rsid w:val="00707C16"/>
    <w:rsid w:val="00710667"/>
    <w:rsid w:val="0071117A"/>
    <w:rsid w:val="0071127D"/>
    <w:rsid w:val="007112E6"/>
    <w:rsid w:val="00711481"/>
    <w:rsid w:val="007115D1"/>
    <w:rsid w:val="00711A8A"/>
    <w:rsid w:val="0071211B"/>
    <w:rsid w:val="0071213D"/>
    <w:rsid w:val="00712A06"/>
    <w:rsid w:val="00712A09"/>
    <w:rsid w:val="00712B73"/>
    <w:rsid w:val="00712D1C"/>
    <w:rsid w:val="00713196"/>
    <w:rsid w:val="007135DA"/>
    <w:rsid w:val="007139D9"/>
    <w:rsid w:val="00713B4D"/>
    <w:rsid w:val="00713D60"/>
    <w:rsid w:val="00713E76"/>
    <w:rsid w:val="00713F75"/>
    <w:rsid w:val="00714142"/>
    <w:rsid w:val="0071414F"/>
    <w:rsid w:val="00714B39"/>
    <w:rsid w:val="00714C2F"/>
    <w:rsid w:val="00715241"/>
    <w:rsid w:val="00715743"/>
    <w:rsid w:val="0071578C"/>
    <w:rsid w:val="007161B2"/>
    <w:rsid w:val="007166BA"/>
    <w:rsid w:val="00716927"/>
    <w:rsid w:val="00716BCF"/>
    <w:rsid w:val="00716DF6"/>
    <w:rsid w:val="00716EAD"/>
    <w:rsid w:val="0071765D"/>
    <w:rsid w:val="00717D9F"/>
    <w:rsid w:val="00717EB0"/>
    <w:rsid w:val="00720014"/>
    <w:rsid w:val="00721A08"/>
    <w:rsid w:val="007227A9"/>
    <w:rsid w:val="00722833"/>
    <w:rsid w:val="00722EE7"/>
    <w:rsid w:val="007230B4"/>
    <w:rsid w:val="0072310C"/>
    <w:rsid w:val="00723208"/>
    <w:rsid w:val="0072353C"/>
    <w:rsid w:val="00723D29"/>
    <w:rsid w:val="007242C4"/>
    <w:rsid w:val="00724332"/>
    <w:rsid w:val="00724506"/>
    <w:rsid w:val="007246C1"/>
    <w:rsid w:val="00724A02"/>
    <w:rsid w:val="00724C14"/>
    <w:rsid w:val="00724CF8"/>
    <w:rsid w:val="00724E77"/>
    <w:rsid w:val="00724E8E"/>
    <w:rsid w:val="007251F1"/>
    <w:rsid w:val="007255B8"/>
    <w:rsid w:val="007258E9"/>
    <w:rsid w:val="00725C2A"/>
    <w:rsid w:val="007260ED"/>
    <w:rsid w:val="00726822"/>
    <w:rsid w:val="00726BD4"/>
    <w:rsid w:val="00727339"/>
    <w:rsid w:val="00727BAE"/>
    <w:rsid w:val="00730065"/>
    <w:rsid w:val="00730472"/>
    <w:rsid w:val="007308D4"/>
    <w:rsid w:val="00730FF0"/>
    <w:rsid w:val="00731486"/>
    <w:rsid w:val="0073155D"/>
    <w:rsid w:val="00731AB3"/>
    <w:rsid w:val="00731CB7"/>
    <w:rsid w:val="00731D89"/>
    <w:rsid w:val="00731DCC"/>
    <w:rsid w:val="0073250A"/>
    <w:rsid w:val="00732788"/>
    <w:rsid w:val="00732998"/>
    <w:rsid w:val="00732A87"/>
    <w:rsid w:val="00732AA7"/>
    <w:rsid w:val="00733709"/>
    <w:rsid w:val="0073371A"/>
    <w:rsid w:val="007337D3"/>
    <w:rsid w:val="00733E07"/>
    <w:rsid w:val="00733E8A"/>
    <w:rsid w:val="0073490D"/>
    <w:rsid w:val="00734E5B"/>
    <w:rsid w:val="00735023"/>
    <w:rsid w:val="00735420"/>
    <w:rsid w:val="007355CF"/>
    <w:rsid w:val="00735C08"/>
    <w:rsid w:val="00735D1C"/>
    <w:rsid w:val="00736037"/>
    <w:rsid w:val="007362AB"/>
    <w:rsid w:val="0073693F"/>
    <w:rsid w:val="00736AA8"/>
    <w:rsid w:val="00736F10"/>
    <w:rsid w:val="00737150"/>
    <w:rsid w:val="0073719C"/>
    <w:rsid w:val="0073730D"/>
    <w:rsid w:val="00737337"/>
    <w:rsid w:val="007373EF"/>
    <w:rsid w:val="007374F2"/>
    <w:rsid w:val="00737B85"/>
    <w:rsid w:val="00737CB3"/>
    <w:rsid w:val="00740CB1"/>
    <w:rsid w:val="007413C6"/>
    <w:rsid w:val="00741A91"/>
    <w:rsid w:val="00741D1C"/>
    <w:rsid w:val="00741F3E"/>
    <w:rsid w:val="007421FF"/>
    <w:rsid w:val="007423C7"/>
    <w:rsid w:val="007424BF"/>
    <w:rsid w:val="00742A40"/>
    <w:rsid w:val="00742BB8"/>
    <w:rsid w:val="00742CDD"/>
    <w:rsid w:val="00742E45"/>
    <w:rsid w:val="00742F31"/>
    <w:rsid w:val="00743711"/>
    <w:rsid w:val="00743CD2"/>
    <w:rsid w:val="00743D8C"/>
    <w:rsid w:val="00743FC7"/>
    <w:rsid w:val="00744040"/>
    <w:rsid w:val="00744711"/>
    <w:rsid w:val="0074498D"/>
    <w:rsid w:val="00744B2A"/>
    <w:rsid w:val="00744DA8"/>
    <w:rsid w:val="00744E4A"/>
    <w:rsid w:val="0074566F"/>
    <w:rsid w:val="0074596A"/>
    <w:rsid w:val="00745C5C"/>
    <w:rsid w:val="00745CFD"/>
    <w:rsid w:val="00746A54"/>
    <w:rsid w:val="00746F54"/>
    <w:rsid w:val="007471A7"/>
    <w:rsid w:val="00747FF4"/>
    <w:rsid w:val="0075036D"/>
    <w:rsid w:val="00750436"/>
    <w:rsid w:val="0075098C"/>
    <w:rsid w:val="007509F7"/>
    <w:rsid w:val="00750C1A"/>
    <w:rsid w:val="00750E7E"/>
    <w:rsid w:val="007512FA"/>
    <w:rsid w:val="007516CC"/>
    <w:rsid w:val="007518DA"/>
    <w:rsid w:val="007522A5"/>
    <w:rsid w:val="0075286B"/>
    <w:rsid w:val="00753566"/>
    <w:rsid w:val="00753625"/>
    <w:rsid w:val="007536FD"/>
    <w:rsid w:val="00753719"/>
    <w:rsid w:val="00753CCA"/>
    <w:rsid w:val="00754173"/>
    <w:rsid w:val="0075441C"/>
    <w:rsid w:val="00754659"/>
    <w:rsid w:val="007546CF"/>
    <w:rsid w:val="0075480F"/>
    <w:rsid w:val="00754E68"/>
    <w:rsid w:val="00755073"/>
    <w:rsid w:val="00755201"/>
    <w:rsid w:val="0075541E"/>
    <w:rsid w:val="00755F12"/>
    <w:rsid w:val="00756ED3"/>
    <w:rsid w:val="0075751A"/>
    <w:rsid w:val="0075760F"/>
    <w:rsid w:val="00757633"/>
    <w:rsid w:val="00757F0B"/>
    <w:rsid w:val="007602FF"/>
    <w:rsid w:val="0076038F"/>
    <w:rsid w:val="00760BE0"/>
    <w:rsid w:val="00760EED"/>
    <w:rsid w:val="00760FE8"/>
    <w:rsid w:val="0076140A"/>
    <w:rsid w:val="0076196D"/>
    <w:rsid w:val="00761D04"/>
    <w:rsid w:val="00761D23"/>
    <w:rsid w:val="00762195"/>
    <w:rsid w:val="007621B9"/>
    <w:rsid w:val="007622B6"/>
    <w:rsid w:val="007622FF"/>
    <w:rsid w:val="00762444"/>
    <w:rsid w:val="00762D3A"/>
    <w:rsid w:val="007631C3"/>
    <w:rsid w:val="00763573"/>
    <w:rsid w:val="00763730"/>
    <w:rsid w:val="00763C0A"/>
    <w:rsid w:val="00763D47"/>
    <w:rsid w:val="0076425C"/>
    <w:rsid w:val="007643A0"/>
    <w:rsid w:val="00764435"/>
    <w:rsid w:val="007644A9"/>
    <w:rsid w:val="00764B4A"/>
    <w:rsid w:val="00764E24"/>
    <w:rsid w:val="00764EC3"/>
    <w:rsid w:val="0076569E"/>
    <w:rsid w:val="0076585F"/>
    <w:rsid w:val="0076596D"/>
    <w:rsid w:val="00765A9C"/>
    <w:rsid w:val="00765B57"/>
    <w:rsid w:val="00765B74"/>
    <w:rsid w:val="00765D2E"/>
    <w:rsid w:val="0076619A"/>
    <w:rsid w:val="00766218"/>
    <w:rsid w:val="007665BA"/>
    <w:rsid w:val="00766AC4"/>
    <w:rsid w:val="00766E51"/>
    <w:rsid w:val="00766FE7"/>
    <w:rsid w:val="007670A5"/>
    <w:rsid w:val="00767ADB"/>
    <w:rsid w:val="00767B30"/>
    <w:rsid w:val="00770724"/>
    <w:rsid w:val="007708C5"/>
    <w:rsid w:val="00770BA5"/>
    <w:rsid w:val="00770DE2"/>
    <w:rsid w:val="00770FCF"/>
    <w:rsid w:val="0077138B"/>
    <w:rsid w:val="00771533"/>
    <w:rsid w:val="00772221"/>
    <w:rsid w:val="0077252D"/>
    <w:rsid w:val="00772698"/>
    <w:rsid w:val="00772FD5"/>
    <w:rsid w:val="00773303"/>
    <w:rsid w:val="00773327"/>
    <w:rsid w:val="0077379A"/>
    <w:rsid w:val="0077397D"/>
    <w:rsid w:val="00774447"/>
    <w:rsid w:val="007746CE"/>
    <w:rsid w:val="00774794"/>
    <w:rsid w:val="00774FDD"/>
    <w:rsid w:val="007756EB"/>
    <w:rsid w:val="007764A3"/>
    <w:rsid w:val="00776645"/>
    <w:rsid w:val="0077674C"/>
    <w:rsid w:val="00776765"/>
    <w:rsid w:val="00776884"/>
    <w:rsid w:val="00776B6F"/>
    <w:rsid w:val="00776D0A"/>
    <w:rsid w:val="00776DB8"/>
    <w:rsid w:val="00777236"/>
    <w:rsid w:val="007773CD"/>
    <w:rsid w:val="007776FD"/>
    <w:rsid w:val="0077791F"/>
    <w:rsid w:val="007804E9"/>
    <w:rsid w:val="007806F8"/>
    <w:rsid w:val="007808E8"/>
    <w:rsid w:val="00780AA6"/>
    <w:rsid w:val="00780D5E"/>
    <w:rsid w:val="00780D9A"/>
    <w:rsid w:val="00781629"/>
    <w:rsid w:val="0078183E"/>
    <w:rsid w:val="00781AEF"/>
    <w:rsid w:val="00781F7A"/>
    <w:rsid w:val="00781FE7"/>
    <w:rsid w:val="007823B7"/>
    <w:rsid w:val="0078259C"/>
    <w:rsid w:val="00782C91"/>
    <w:rsid w:val="00782D97"/>
    <w:rsid w:val="00783A1B"/>
    <w:rsid w:val="00783CAF"/>
    <w:rsid w:val="00783E7F"/>
    <w:rsid w:val="007840F8"/>
    <w:rsid w:val="007843E4"/>
    <w:rsid w:val="0078466A"/>
    <w:rsid w:val="007846C4"/>
    <w:rsid w:val="00784CC7"/>
    <w:rsid w:val="007857BA"/>
    <w:rsid w:val="00785E15"/>
    <w:rsid w:val="00786597"/>
    <w:rsid w:val="0078659D"/>
    <w:rsid w:val="007867F0"/>
    <w:rsid w:val="00786862"/>
    <w:rsid w:val="00786F96"/>
    <w:rsid w:val="0078729E"/>
    <w:rsid w:val="0078766B"/>
    <w:rsid w:val="007879C0"/>
    <w:rsid w:val="007879DA"/>
    <w:rsid w:val="00790177"/>
    <w:rsid w:val="00790782"/>
    <w:rsid w:val="00790843"/>
    <w:rsid w:val="007909A7"/>
    <w:rsid w:val="00790A1E"/>
    <w:rsid w:val="00790CD6"/>
    <w:rsid w:val="00790D3E"/>
    <w:rsid w:val="00790F34"/>
    <w:rsid w:val="007917E4"/>
    <w:rsid w:val="00791A8E"/>
    <w:rsid w:val="00792088"/>
    <w:rsid w:val="007922CE"/>
    <w:rsid w:val="007925F7"/>
    <w:rsid w:val="007929A8"/>
    <w:rsid w:val="00792BFD"/>
    <w:rsid w:val="0079300B"/>
    <w:rsid w:val="00793239"/>
    <w:rsid w:val="0079355D"/>
    <w:rsid w:val="00793671"/>
    <w:rsid w:val="00793E1F"/>
    <w:rsid w:val="00793E65"/>
    <w:rsid w:val="00793EF3"/>
    <w:rsid w:val="00794443"/>
    <w:rsid w:val="00794B97"/>
    <w:rsid w:val="00795603"/>
    <w:rsid w:val="007968CB"/>
    <w:rsid w:val="00796D89"/>
    <w:rsid w:val="00797115"/>
    <w:rsid w:val="00797752"/>
    <w:rsid w:val="00797F2D"/>
    <w:rsid w:val="00797F32"/>
    <w:rsid w:val="00797FAB"/>
    <w:rsid w:val="007A0054"/>
    <w:rsid w:val="007A01EB"/>
    <w:rsid w:val="007A0481"/>
    <w:rsid w:val="007A05C0"/>
    <w:rsid w:val="007A0B0B"/>
    <w:rsid w:val="007A0D5E"/>
    <w:rsid w:val="007A0E96"/>
    <w:rsid w:val="007A1437"/>
    <w:rsid w:val="007A19A1"/>
    <w:rsid w:val="007A19B8"/>
    <w:rsid w:val="007A1F96"/>
    <w:rsid w:val="007A23A4"/>
    <w:rsid w:val="007A23D4"/>
    <w:rsid w:val="007A2787"/>
    <w:rsid w:val="007A2948"/>
    <w:rsid w:val="007A2E6D"/>
    <w:rsid w:val="007A31DE"/>
    <w:rsid w:val="007A3337"/>
    <w:rsid w:val="007A3412"/>
    <w:rsid w:val="007A3ADD"/>
    <w:rsid w:val="007A4860"/>
    <w:rsid w:val="007A4B4F"/>
    <w:rsid w:val="007A5117"/>
    <w:rsid w:val="007A53CC"/>
    <w:rsid w:val="007A5479"/>
    <w:rsid w:val="007A56CE"/>
    <w:rsid w:val="007A5AEE"/>
    <w:rsid w:val="007A5E48"/>
    <w:rsid w:val="007A61EF"/>
    <w:rsid w:val="007A6F57"/>
    <w:rsid w:val="007A7462"/>
    <w:rsid w:val="007A7B63"/>
    <w:rsid w:val="007B0207"/>
    <w:rsid w:val="007B0EDA"/>
    <w:rsid w:val="007B1157"/>
    <w:rsid w:val="007B1EAA"/>
    <w:rsid w:val="007B1F78"/>
    <w:rsid w:val="007B2162"/>
    <w:rsid w:val="007B2231"/>
    <w:rsid w:val="007B2379"/>
    <w:rsid w:val="007B2442"/>
    <w:rsid w:val="007B2846"/>
    <w:rsid w:val="007B3110"/>
    <w:rsid w:val="007B33EE"/>
    <w:rsid w:val="007B4196"/>
    <w:rsid w:val="007B42D7"/>
    <w:rsid w:val="007B4429"/>
    <w:rsid w:val="007B4C6F"/>
    <w:rsid w:val="007B4F7F"/>
    <w:rsid w:val="007B53B5"/>
    <w:rsid w:val="007B5585"/>
    <w:rsid w:val="007B5715"/>
    <w:rsid w:val="007B5A9B"/>
    <w:rsid w:val="007B5F72"/>
    <w:rsid w:val="007B6650"/>
    <w:rsid w:val="007B6A0F"/>
    <w:rsid w:val="007B6A43"/>
    <w:rsid w:val="007B6F01"/>
    <w:rsid w:val="007B7304"/>
    <w:rsid w:val="007B7315"/>
    <w:rsid w:val="007B758A"/>
    <w:rsid w:val="007B7D1F"/>
    <w:rsid w:val="007B7E10"/>
    <w:rsid w:val="007C019D"/>
    <w:rsid w:val="007C02A2"/>
    <w:rsid w:val="007C048F"/>
    <w:rsid w:val="007C049D"/>
    <w:rsid w:val="007C0B4C"/>
    <w:rsid w:val="007C1079"/>
    <w:rsid w:val="007C1135"/>
    <w:rsid w:val="007C14E5"/>
    <w:rsid w:val="007C1564"/>
    <w:rsid w:val="007C176F"/>
    <w:rsid w:val="007C254D"/>
    <w:rsid w:val="007C2A98"/>
    <w:rsid w:val="007C2CD8"/>
    <w:rsid w:val="007C2FE3"/>
    <w:rsid w:val="007C33B7"/>
    <w:rsid w:val="007C3E58"/>
    <w:rsid w:val="007C3E97"/>
    <w:rsid w:val="007C445C"/>
    <w:rsid w:val="007C44D1"/>
    <w:rsid w:val="007C4798"/>
    <w:rsid w:val="007C55DA"/>
    <w:rsid w:val="007C55E3"/>
    <w:rsid w:val="007C565A"/>
    <w:rsid w:val="007C5D01"/>
    <w:rsid w:val="007C600D"/>
    <w:rsid w:val="007C62AB"/>
    <w:rsid w:val="007C66F5"/>
    <w:rsid w:val="007C6C9E"/>
    <w:rsid w:val="007C7B11"/>
    <w:rsid w:val="007D0432"/>
    <w:rsid w:val="007D107E"/>
    <w:rsid w:val="007D13A5"/>
    <w:rsid w:val="007D1446"/>
    <w:rsid w:val="007D149F"/>
    <w:rsid w:val="007D14D0"/>
    <w:rsid w:val="007D1C27"/>
    <w:rsid w:val="007D2169"/>
    <w:rsid w:val="007D25AE"/>
    <w:rsid w:val="007D27CA"/>
    <w:rsid w:val="007D289A"/>
    <w:rsid w:val="007D2A32"/>
    <w:rsid w:val="007D3414"/>
    <w:rsid w:val="007D3541"/>
    <w:rsid w:val="007D37E6"/>
    <w:rsid w:val="007D389B"/>
    <w:rsid w:val="007D3943"/>
    <w:rsid w:val="007D3CEA"/>
    <w:rsid w:val="007D3D82"/>
    <w:rsid w:val="007D411D"/>
    <w:rsid w:val="007D4751"/>
    <w:rsid w:val="007D4CF6"/>
    <w:rsid w:val="007D510D"/>
    <w:rsid w:val="007D5533"/>
    <w:rsid w:val="007D5719"/>
    <w:rsid w:val="007D5A76"/>
    <w:rsid w:val="007D5BFD"/>
    <w:rsid w:val="007D6178"/>
    <w:rsid w:val="007D64DE"/>
    <w:rsid w:val="007D6AAF"/>
    <w:rsid w:val="007D6E69"/>
    <w:rsid w:val="007D70EA"/>
    <w:rsid w:val="007D75D7"/>
    <w:rsid w:val="007D7BFF"/>
    <w:rsid w:val="007E0717"/>
    <w:rsid w:val="007E0C11"/>
    <w:rsid w:val="007E13E6"/>
    <w:rsid w:val="007E19AB"/>
    <w:rsid w:val="007E1D20"/>
    <w:rsid w:val="007E1DA1"/>
    <w:rsid w:val="007E1F6C"/>
    <w:rsid w:val="007E2431"/>
    <w:rsid w:val="007E2C37"/>
    <w:rsid w:val="007E2E8D"/>
    <w:rsid w:val="007E3229"/>
    <w:rsid w:val="007E35E1"/>
    <w:rsid w:val="007E3FB5"/>
    <w:rsid w:val="007E40DA"/>
    <w:rsid w:val="007E4178"/>
    <w:rsid w:val="007E41DA"/>
    <w:rsid w:val="007E42E4"/>
    <w:rsid w:val="007E4431"/>
    <w:rsid w:val="007E468D"/>
    <w:rsid w:val="007E5079"/>
    <w:rsid w:val="007E5128"/>
    <w:rsid w:val="007E6311"/>
    <w:rsid w:val="007E65F5"/>
    <w:rsid w:val="007E6D3B"/>
    <w:rsid w:val="007E6E89"/>
    <w:rsid w:val="007E76F8"/>
    <w:rsid w:val="007E780F"/>
    <w:rsid w:val="007E7E0A"/>
    <w:rsid w:val="007E7EB1"/>
    <w:rsid w:val="007E7F4E"/>
    <w:rsid w:val="007F01AD"/>
    <w:rsid w:val="007F01FF"/>
    <w:rsid w:val="007F0280"/>
    <w:rsid w:val="007F04C5"/>
    <w:rsid w:val="007F0A5A"/>
    <w:rsid w:val="007F0EB5"/>
    <w:rsid w:val="007F0EC2"/>
    <w:rsid w:val="007F106D"/>
    <w:rsid w:val="007F123E"/>
    <w:rsid w:val="007F1259"/>
    <w:rsid w:val="007F1737"/>
    <w:rsid w:val="007F1A36"/>
    <w:rsid w:val="007F1DCC"/>
    <w:rsid w:val="007F2353"/>
    <w:rsid w:val="007F3261"/>
    <w:rsid w:val="007F334D"/>
    <w:rsid w:val="007F3AE1"/>
    <w:rsid w:val="007F3C0C"/>
    <w:rsid w:val="007F3F31"/>
    <w:rsid w:val="007F40AB"/>
    <w:rsid w:val="007F4850"/>
    <w:rsid w:val="007F49ED"/>
    <w:rsid w:val="007F4EA0"/>
    <w:rsid w:val="007F5C51"/>
    <w:rsid w:val="007F60BF"/>
    <w:rsid w:val="007F660E"/>
    <w:rsid w:val="007F670F"/>
    <w:rsid w:val="007F6CF0"/>
    <w:rsid w:val="007F6E3B"/>
    <w:rsid w:val="007F7204"/>
    <w:rsid w:val="007F755E"/>
    <w:rsid w:val="007F7745"/>
    <w:rsid w:val="007F78C3"/>
    <w:rsid w:val="007F7AAE"/>
    <w:rsid w:val="007F7CE8"/>
    <w:rsid w:val="008007F3"/>
    <w:rsid w:val="00800935"/>
    <w:rsid w:val="00800AD4"/>
    <w:rsid w:val="00800B45"/>
    <w:rsid w:val="008011E0"/>
    <w:rsid w:val="008012B4"/>
    <w:rsid w:val="0080148F"/>
    <w:rsid w:val="00801697"/>
    <w:rsid w:val="00801903"/>
    <w:rsid w:val="00801B12"/>
    <w:rsid w:val="00801D06"/>
    <w:rsid w:val="00801F10"/>
    <w:rsid w:val="00801FD7"/>
    <w:rsid w:val="008022A0"/>
    <w:rsid w:val="0080234C"/>
    <w:rsid w:val="00802675"/>
    <w:rsid w:val="008026A3"/>
    <w:rsid w:val="00802D7A"/>
    <w:rsid w:val="00802F74"/>
    <w:rsid w:val="00803609"/>
    <w:rsid w:val="0080387E"/>
    <w:rsid w:val="0080470F"/>
    <w:rsid w:val="00804967"/>
    <w:rsid w:val="00804C6B"/>
    <w:rsid w:val="00804FFD"/>
    <w:rsid w:val="00805528"/>
    <w:rsid w:val="008056D0"/>
    <w:rsid w:val="008058FF"/>
    <w:rsid w:val="0080590F"/>
    <w:rsid w:val="00805A10"/>
    <w:rsid w:val="0080612E"/>
    <w:rsid w:val="00806157"/>
    <w:rsid w:val="00806712"/>
    <w:rsid w:val="008067F0"/>
    <w:rsid w:val="008068E6"/>
    <w:rsid w:val="0080695F"/>
    <w:rsid w:val="00806EB9"/>
    <w:rsid w:val="0080727C"/>
    <w:rsid w:val="0080798C"/>
    <w:rsid w:val="008079DE"/>
    <w:rsid w:val="00807E97"/>
    <w:rsid w:val="00810C4F"/>
    <w:rsid w:val="00811003"/>
    <w:rsid w:val="00811361"/>
    <w:rsid w:val="008113A2"/>
    <w:rsid w:val="00811591"/>
    <w:rsid w:val="008119B0"/>
    <w:rsid w:val="00811E40"/>
    <w:rsid w:val="008122A7"/>
    <w:rsid w:val="0081238C"/>
    <w:rsid w:val="00812A37"/>
    <w:rsid w:val="00812B1C"/>
    <w:rsid w:val="00812CB0"/>
    <w:rsid w:val="0081393A"/>
    <w:rsid w:val="00813C93"/>
    <w:rsid w:val="00813ED8"/>
    <w:rsid w:val="008140E1"/>
    <w:rsid w:val="00814187"/>
    <w:rsid w:val="008144DD"/>
    <w:rsid w:val="00814C5D"/>
    <w:rsid w:val="00814C7D"/>
    <w:rsid w:val="00814F9C"/>
    <w:rsid w:val="00815058"/>
    <w:rsid w:val="008159A1"/>
    <w:rsid w:val="00815D97"/>
    <w:rsid w:val="00816610"/>
    <w:rsid w:val="00816750"/>
    <w:rsid w:val="00816821"/>
    <w:rsid w:val="00816888"/>
    <w:rsid w:val="00816F1D"/>
    <w:rsid w:val="00817344"/>
    <w:rsid w:val="008177E1"/>
    <w:rsid w:val="00820177"/>
    <w:rsid w:val="00821508"/>
    <w:rsid w:val="008215D9"/>
    <w:rsid w:val="0082184F"/>
    <w:rsid w:val="00821AF0"/>
    <w:rsid w:val="00821E64"/>
    <w:rsid w:val="00821F00"/>
    <w:rsid w:val="00822574"/>
    <w:rsid w:val="00822977"/>
    <w:rsid w:val="00822F39"/>
    <w:rsid w:val="008230A8"/>
    <w:rsid w:val="008232AD"/>
    <w:rsid w:val="0082331F"/>
    <w:rsid w:val="008234E5"/>
    <w:rsid w:val="00823978"/>
    <w:rsid w:val="00823D30"/>
    <w:rsid w:val="00823D5B"/>
    <w:rsid w:val="00823DC9"/>
    <w:rsid w:val="00823F24"/>
    <w:rsid w:val="0082468D"/>
    <w:rsid w:val="008247B0"/>
    <w:rsid w:val="00824D7D"/>
    <w:rsid w:val="00824EEB"/>
    <w:rsid w:val="008254A1"/>
    <w:rsid w:val="00825D8F"/>
    <w:rsid w:val="008260E8"/>
    <w:rsid w:val="008262B7"/>
    <w:rsid w:val="00826374"/>
    <w:rsid w:val="008265B9"/>
    <w:rsid w:val="00826765"/>
    <w:rsid w:val="00826937"/>
    <w:rsid w:val="0083058D"/>
    <w:rsid w:val="008306E8"/>
    <w:rsid w:val="008306F9"/>
    <w:rsid w:val="00830CA4"/>
    <w:rsid w:val="00831020"/>
    <w:rsid w:val="00831534"/>
    <w:rsid w:val="00831563"/>
    <w:rsid w:val="00831946"/>
    <w:rsid w:val="008327EB"/>
    <w:rsid w:val="00832849"/>
    <w:rsid w:val="008330C1"/>
    <w:rsid w:val="0083333A"/>
    <w:rsid w:val="008333B2"/>
    <w:rsid w:val="00834463"/>
    <w:rsid w:val="00834805"/>
    <w:rsid w:val="0083496C"/>
    <w:rsid w:val="00834A92"/>
    <w:rsid w:val="00834E38"/>
    <w:rsid w:val="008354AA"/>
    <w:rsid w:val="00836234"/>
    <w:rsid w:val="00836582"/>
    <w:rsid w:val="00836B65"/>
    <w:rsid w:val="00836FBD"/>
    <w:rsid w:val="00837055"/>
    <w:rsid w:val="0083760C"/>
    <w:rsid w:val="00837A2D"/>
    <w:rsid w:val="00840048"/>
    <w:rsid w:val="008400D5"/>
    <w:rsid w:val="00840344"/>
    <w:rsid w:val="00840359"/>
    <w:rsid w:val="00840DED"/>
    <w:rsid w:val="00840E16"/>
    <w:rsid w:val="00841021"/>
    <w:rsid w:val="008412AB"/>
    <w:rsid w:val="0084153B"/>
    <w:rsid w:val="00841632"/>
    <w:rsid w:val="00841F43"/>
    <w:rsid w:val="00842B66"/>
    <w:rsid w:val="00842D80"/>
    <w:rsid w:val="00843061"/>
    <w:rsid w:val="008437F8"/>
    <w:rsid w:val="0084389F"/>
    <w:rsid w:val="00843923"/>
    <w:rsid w:val="008439CF"/>
    <w:rsid w:val="00843E9D"/>
    <w:rsid w:val="00844940"/>
    <w:rsid w:val="00844A0D"/>
    <w:rsid w:val="00845D8D"/>
    <w:rsid w:val="00846045"/>
    <w:rsid w:val="00846238"/>
    <w:rsid w:val="008464A5"/>
    <w:rsid w:val="0084665E"/>
    <w:rsid w:val="00846D94"/>
    <w:rsid w:val="008474B5"/>
    <w:rsid w:val="00847A9D"/>
    <w:rsid w:val="00847B48"/>
    <w:rsid w:val="00847E13"/>
    <w:rsid w:val="00847F38"/>
    <w:rsid w:val="008501F0"/>
    <w:rsid w:val="00850316"/>
    <w:rsid w:val="008503B6"/>
    <w:rsid w:val="008506CB"/>
    <w:rsid w:val="00851330"/>
    <w:rsid w:val="00851345"/>
    <w:rsid w:val="0085258E"/>
    <w:rsid w:val="00852F73"/>
    <w:rsid w:val="00853BB2"/>
    <w:rsid w:val="00853C81"/>
    <w:rsid w:val="00853D5C"/>
    <w:rsid w:val="00854646"/>
    <w:rsid w:val="008549D9"/>
    <w:rsid w:val="00854F16"/>
    <w:rsid w:val="00855179"/>
    <w:rsid w:val="0085542D"/>
    <w:rsid w:val="008558C7"/>
    <w:rsid w:val="008568C5"/>
    <w:rsid w:val="00856DEB"/>
    <w:rsid w:val="00856E80"/>
    <w:rsid w:val="0085733E"/>
    <w:rsid w:val="00857BB8"/>
    <w:rsid w:val="00857D10"/>
    <w:rsid w:val="00857DD6"/>
    <w:rsid w:val="0086033D"/>
    <w:rsid w:val="0086057E"/>
    <w:rsid w:val="0086066C"/>
    <w:rsid w:val="0086072B"/>
    <w:rsid w:val="008608AB"/>
    <w:rsid w:val="00860B3B"/>
    <w:rsid w:val="00860BB4"/>
    <w:rsid w:val="0086110B"/>
    <w:rsid w:val="0086115E"/>
    <w:rsid w:val="00861773"/>
    <w:rsid w:val="00861812"/>
    <w:rsid w:val="00861817"/>
    <w:rsid w:val="00861F7D"/>
    <w:rsid w:val="008620B4"/>
    <w:rsid w:val="0086220C"/>
    <w:rsid w:val="008625AC"/>
    <w:rsid w:val="00862A79"/>
    <w:rsid w:val="00862C66"/>
    <w:rsid w:val="00862F5C"/>
    <w:rsid w:val="008633A8"/>
    <w:rsid w:val="008633E1"/>
    <w:rsid w:val="00864162"/>
    <w:rsid w:val="00864333"/>
    <w:rsid w:val="008646BB"/>
    <w:rsid w:val="00864E07"/>
    <w:rsid w:val="008651CB"/>
    <w:rsid w:val="008656F8"/>
    <w:rsid w:val="00865766"/>
    <w:rsid w:val="0086610B"/>
    <w:rsid w:val="0086636E"/>
    <w:rsid w:val="008667B3"/>
    <w:rsid w:val="008670D6"/>
    <w:rsid w:val="008679B3"/>
    <w:rsid w:val="00867CB4"/>
    <w:rsid w:val="00870E8D"/>
    <w:rsid w:val="008713C1"/>
    <w:rsid w:val="0087198D"/>
    <w:rsid w:val="00871A59"/>
    <w:rsid w:val="00871B95"/>
    <w:rsid w:val="00871D9F"/>
    <w:rsid w:val="008724BC"/>
    <w:rsid w:val="008725D8"/>
    <w:rsid w:val="00872789"/>
    <w:rsid w:val="008729A7"/>
    <w:rsid w:val="00872B8F"/>
    <w:rsid w:val="00873C7D"/>
    <w:rsid w:val="0087415E"/>
    <w:rsid w:val="0087425D"/>
    <w:rsid w:val="00874270"/>
    <w:rsid w:val="00874436"/>
    <w:rsid w:val="00874475"/>
    <w:rsid w:val="0087561A"/>
    <w:rsid w:val="00875699"/>
    <w:rsid w:val="00875909"/>
    <w:rsid w:val="008759D9"/>
    <w:rsid w:val="00875B1B"/>
    <w:rsid w:val="00875B93"/>
    <w:rsid w:val="00875FAA"/>
    <w:rsid w:val="00876059"/>
    <w:rsid w:val="008763F4"/>
    <w:rsid w:val="008765E2"/>
    <w:rsid w:val="0087693F"/>
    <w:rsid w:val="008771C1"/>
    <w:rsid w:val="00877205"/>
    <w:rsid w:val="00877247"/>
    <w:rsid w:val="00877469"/>
    <w:rsid w:val="0087769A"/>
    <w:rsid w:val="00877B4A"/>
    <w:rsid w:val="00877BCA"/>
    <w:rsid w:val="008804AD"/>
    <w:rsid w:val="0088054C"/>
    <w:rsid w:val="008807B6"/>
    <w:rsid w:val="0088087B"/>
    <w:rsid w:val="00880AB5"/>
    <w:rsid w:val="008811BF"/>
    <w:rsid w:val="00881262"/>
    <w:rsid w:val="00881383"/>
    <w:rsid w:val="00881475"/>
    <w:rsid w:val="00881ED0"/>
    <w:rsid w:val="00881FB0"/>
    <w:rsid w:val="008821B5"/>
    <w:rsid w:val="008829F1"/>
    <w:rsid w:val="00882CAA"/>
    <w:rsid w:val="00882DEA"/>
    <w:rsid w:val="0088349E"/>
    <w:rsid w:val="00883D98"/>
    <w:rsid w:val="00884618"/>
    <w:rsid w:val="0088514F"/>
    <w:rsid w:val="00885343"/>
    <w:rsid w:val="0088568F"/>
    <w:rsid w:val="00885A1D"/>
    <w:rsid w:val="00885E90"/>
    <w:rsid w:val="008860D5"/>
    <w:rsid w:val="008866F8"/>
    <w:rsid w:val="008868FB"/>
    <w:rsid w:val="00887422"/>
    <w:rsid w:val="00887FB6"/>
    <w:rsid w:val="008901DC"/>
    <w:rsid w:val="008901FD"/>
    <w:rsid w:val="00890D3E"/>
    <w:rsid w:val="00891096"/>
    <w:rsid w:val="00891207"/>
    <w:rsid w:val="00891290"/>
    <w:rsid w:val="008913DF"/>
    <w:rsid w:val="0089149A"/>
    <w:rsid w:val="00891565"/>
    <w:rsid w:val="00891935"/>
    <w:rsid w:val="008921EF"/>
    <w:rsid w:val="00892277"/>
    <w:rsid w:val="00892943"/>
    <w:rsid w:val="00892A04"/>
    <w:rsid w:val="00892E21"/>
    <w:rsid w:val="008932CE"/>
    <w:rsid w:val="00893362"/>
    <w:rsid w:val="00893451"/>
    <w:rsid w:val="00893766"/>
    <w:rsid w:val="00893946"/>
    <w:rsid w:val="00893A0F"/>
    <w:rsid w:val="00893A9A"/>
    <w:rsid w:val="00893B8C"/>
    <w:rsid w:val="00893E24"/>
    <w:rsid w:val="00893E4E"/>
    <w:rsid w:val="00893F4F"/>
    <w:rsid w:val="008946EF"/>
    <w:rsid w:val="00895377"/>
    <w:rsid w:val="00895FDD"/>
    <w:rsid w:val="00896209"/>
    <w:rsid w:val="00896287"/>
    <w:rsid w:val="008964F3"/>
    <w:rsid w:val="008968C5"/>
    <w:rsid w:val="00896A59"/>
    <w:rsid w:val="00896C38"/>
    <w:rsid w:val="0089718F"/>
    <w:rsid w:val="008974CE"/>
    <w:rsid w:val="00897560"/>
    <w:rsid w:val="00897962"/>
    <w:rsid w:val="00897992"/>
    <w:rsid w:val="00897AF7"/>
    <w:rsid w:val="00897BE5"/>
    <w:rsid w:val="00897BE7"/>
    <w:rsid w:val="008A00EA"/>
    <w:rsid w:val="008A01C5"/>
    <w:rsid w:val="008A05D4"/>
    <w:rsid w:val="008A07B1"/>
    <w:rsid w:val="008A0865"/>
    <w:rsid w:val="008A0871"/>
    <w:rsid w:val="008A08C0"/>
    <w:rsid w:val="008A0A1D"/>
    <w:rsid w:val="008A0B1B"/>
    <w:rsid w:val="008A0E67"/>
    <w:rsid w:val="008A125E"/>
    <w:rsid w:val="008A146D"/>
    <w:rsid w:val="008A1542"/>
    <w:rsid w:val="008A1670"/>
    <w:rsid w:val="008A1D9F"/>
    <w:rsid w:val="008A226C"/>
    <w:rsid w:val="008A26E6"/>
    <w:rsid w:val="008A2A03"/>
    <w:rsid w:val="008A2A51"/>
    <w:rsid w:val="008A2A8D"/>
    <w:rsid w:val="008A2B87"/>
    <w:rsid w:val="008A2F21"/>
    <w:rsid w:val="008A3289"/>
    <w:rsid w:val="008A35FA"/>
    <w:rsid w:val="008A3D37"/>
    <w:rsid w:val="008A4332"/>
    <w:rsid w:val="008A44EF"/>
    <w:rsid w:val="008A487B"/>
    <w:rsid w:val="008A511B"/>
    <w:rsid w:val="008A5214"/>
    <w:rsid w:val="008A556C"/>
    <w:rsid w:val="008A5810"/>
    <w:rsid w:val="008A583E"/>
    <w:rsid w:val="008A5D37"/>
    <w:rsid w:val="008A600B"/>
    <w:rsid w:val="008A6051"/>
    <w:rsid w:val="008A6798"/>
    <w:rsid w:val="008A680F"/>
    <w:rsid w:val="008A6820"/>
    <w:rsid w:val="008A7023"/>
    <w:rsid w:val="008A7132"/>
    <w:rsid w:val="008A7207"/>
    <w:rsid w:val="008A7744"/>
    <w:rsid w:val="008A7CD1"/>
    <w:rsid w:val="008A7D69"/>
    <w:rsid w:val="008A7EE6"/>
    <w:rsid w:val="008B0029"/>
    <w:rsid w:val="008B05B1"/>
    <w:rsid w:val="008B0882"/>
    <w:rsid w:val="008B0946"/>
    <w:rsid w:val="008B09F0"/>
    <w:rsid w:val="008B0F70"/>
    <w:rsid w:val="008B0F94"/>
    <w:rsid w:val="008B1251"/>
    <w:rsid w:val="008B152F"/>
    <w:rsid w:val="008B19B7"/>
    <w:rsid w:val="008B1B39"/>
    <w:rsid w:val="008B1DC9"/>
    <w:rsid w:val="008B2481"/>
    <w:rsid w:val="008B24F5"/>
    <w:rsid w:val="008B2AD0"/>
    <w:rsid w:val="008B345F"/>
    <w:rsid w:val="008B3CF4"/>
    <w:rsid w:val="008B3F04"/>
    <w:rsid w:val="008B3FA8"/>
    <w:rsid w:val="008B4243"/>
    <w:rsid w:val="008B4957"/>
    <w:rsid w:val="008B5100"/>
    <w:rsid w:val="008B530E"/>
    <w:rsid w:val="008B53BE"/>
    <w:rsid w:val="008B5CC9"/>
    <w:rsid w:val="008B5FAD"/>
    <w:rsid w:val="008B6043"/>
    <w:rsid w:val="008B6D1C"/>
    <w:rsid w:val="008B76BB"/>
    <w:rsid w:val="008B7902"/>
    <w:rsid w:val="008C0490"/>
    <w:rsid w:val="008C074E"/>
    <w:rsid w:val="008C10EB"/>
    <w:rsid w:val="008C1210"/>
    <w:rsid w:val="008C1BED"/>
    <w:rsid w:val="008C1DC2"/>
    <w:rsid w:val="008C2117"/>
    <w:rsid w:val="008C26DA"/>
    <w:rsid w:val="008C2811"/>
    <w:rsid w:val="008C32B0"/>
    <w:rsid w:val="008C335D"/>
    <w:rsid w:val="008C3B0C"/>
    <w:rsid w:val="008C3CBD"/>
    <w:rsid w:val="008C3E8C"/>
    <w:rsid w:val="008C4391"/>
    <w:rsid w:val="008C4BF1"/>
    <w:rsid w:val="008C4C53"/>
    <w:rsid w:val="008C53BB"/>
    <w:rsid w:val="008C548E"/>
    <w:rsid w:val="008C5AF6"/>
    <w:rsid w:val="008C5B1B"/>
    <w:rsid w:val="008C60CC"/>
    <w:rsid w:val="008C668A"/>
    <w:rsid w:val="008C671F"/>
    <w:rsid w:val="008C6813"/>
    <w:rsid w:val="008C73D4"/>
    <w:rsid w:val="008C7B15"/>
    <w:rsid w:val="008C7D0C"/>
    <w:rsid w:val="008C7E1D"/>
    <w:rsid w:val="008D0086"/>
    <w:rsid w:val="008D027E"/>
    <w:rsid w:val="008D05BE"/>
    <w:rsid w:val="008D0847"/>
    <w:rsid w:val="008D117B"/>
    <w:rsid w:val="008D13AA"/>
    <w:rsid w:val="008D1498"/>
    <w:rsid w:val="008D17F3"/>
    <w:rsid w:val="008D1B7A"/>
    <w:rsid w:val="008D1D48"/>
    <w:rsid w:val="008D1D6C"/>
    <w:rsid w:val="008D1FE5"/>
    <w:rsid w:val="008D280D"/>
    <w:rsid w:val="008D29C4"/>
    <w:rsid w:val="008D2D3E"/>
    <w:rsid w:val="008D2DE8"/>
    <w:rsid w:val="008D2EB9"/>
    <w:rsid w:val="008D2F9F"/>
    <w:rsid w:val="008D3505"/>
    <w:rsid w:val="008D3C48"/>
    <w:rsid w:val="008D3DCF"/>
    <w:rsid w:val="008D41E0"/>
    <w:rsid w:val="008D4619"/>
    <w:rsid w:val="008D530E"/>
    <w:rsid w:val="008D5DB0"/>
    <w:rsid w:val="008D6211"/>
    <w:rsid w:val="008D67B0"/>
    <w:rsid w:val="008D6B9C"/>
    <w:rsid w:val="008D6C56"/>
    <w:rsid w:val="008D6F79"/>
    <w:rsid w:val="008D730B"/>
    <w:rsid w:val="008D782C"/>
    <w:rsid w:val="008E0386"/>
    <w:rsid w:val="008E0CEE"/>
    <w:rsid w:val="008E1416"/>
    <w:rsid w:val="008E17F7"/>
    <w:rsid w:val="008E19BC"/>
    <w:rsid w:val="008E1E73"/>
    <w:rsid w:val="008E220B"/>
    <w:rsid w:val="008E29CA"/>
    <w:rsid w:val="008E2CB8"/>
    <w:rsid w:val="008E2D62"/>
    <w:rsid w:val="008E30C2"/>
    <w:rsid w:val="008E3441"/>
    <w:rsid w:val="008E38F3"/>
    <w:rsid w:val="008E425A"/>
    <w:rsid w:val="008E4D52"/>
    <w:rsid w:val="008E4E2E"/>
    <w:rsid w:val="008E57D5"/>
    <w:rsid w:val="008E5855"/>
    <w:rsid w:val="008E5B4B"/>
    <w:rsid w:val="008E6467"/>
    <w:rsid w:val="008E70B3"/>
    <w:rsid w:val="008E736A"/>
    <w:rsid w:val="008E7E65"/>
    <w:rsid w:val="008F00C0"/>
    <w:rsid w:val="008F0134"/>
    <w:rsid w:val="008F0186"/>
    <w:rsid w:val="008F090F"/>
    <w:rsid w:val="008F0AB8"/>
    <w:rsid w:val="008F0BC4"/>
    <w:rsid w:val="008F0E1E"/>
    <w:rsid w:val="008F1059"/>
    <w:rsid w:val="008F1454"/>
    <w:rsid w:val="008F1561"/>
    <w:rsid w:val="008F1729"/>
    <w:rsid w:val="008F1E0B"/>
    <w:rsid w:val="008F1F76"/>
    <w:rsid w:val="008F25C6"/>
    <w:rsid w:val="008F26B0"/>
    <w:rsid w:val="008F29E8"/>
    <w:rsid w:val="008F318B"/>
    <w:rsid w:val="008F37D6"/>
    <w:rsid w:val="008F42DF"/>
    <w:rsid w:val="008F45BD"/>
    <w:rsid w:val="008F49BF"/>
    <w:rsid w:val="008F5263"/>
    <w:rsid w:val="008F5B02"/>
    <w:rsid w:val="008F5DCE"/>
    <w:rsid w:val="008F5ECA"/>
    <w:rsid w:val="008F627C"/>
    <w:rsid w:val="008F6928"/>
    <w:rsid w:val="008F6A32"/>
    <w:rsid w:val="008F72B1"/>
    <w:rsid w:val="008F762A"/>
    <w:rsid w:val="00900155"/>
    <w:rsid w:val="00900445"/>
    <w:rsid w:val="0090049B"/>
    <w:rsid w:val="0090082F"/>
    <w:rsid w:val="00900934"/>
    <w:rsid w:val="00900E71"/>
    <w:rsid w:val="009016C6"/>
    <w:rsid w:val="009016DF"/>
    <w:rsid w:val="009019C2"/>
    <w:rsid w:val="00901BF0"/>
    <w:rsid w:val="00901C57"/>
    <w:rsid w:val="00901D90"/>
    <w:rsid w:val="0090200D"/>
    <w:rsid w:val="00902032"/>
    <w:rsid w:val="009024BF"/>
    <w:rsid w:val="009026B9"/>
    <w:rsid w:val="0090270E"/>
    <w:rsid w:val="00902914"/>
    <w:rsid w:val="00902A7E"/>
    <w:rsid w:val="00902E1C"/>
    <w:rsid w:val="0090385D"/>
    <w:rsid w:val="00903AF8"/>
    <w:rsid w:val="00905D8D"/>
    <w:rsid w:val="00906309"/>
    <w:rsid w:val="0090656F"/>
    <w:rsid w:val="009068A1"/>
    <w:rsid w:val="00906AC1"/>
    <w:rsid w:val="00906AE8"/>
    <w:rsid w:val="00906CE4"/>
    <w:rsid w:val="0090753B"/>
    <w:rsid w:val="00907660"/>
    <w:rsid w:val="00910556"/>
    <w:rsid w:val="009105C6"/>
    <w:rsid w:val="00910678"/>
    <w:rsid w:val="00910F24"/>
    <w:rsid w:val="0091106E"/>
    <w:rsid w:val="00911C1D"/>
    <w:rsid w:val="00911F96"/>
    <w:rsid w:val="00912075"/>
    <w:rsid w:val="009138B7"/>
    <w:rsid w:val="009143B1"/>
    <w:rsid w:val="00914597"/>
    <w:rsid w:val="00914CF7"/>
    <w:rsid w:val="00914D58"/>
    <w:rsid w:val="009151AE"/>
    <w:rsid w:val="009151F6"/>
    <w:rsid w:val="00915801"/>
    <w:rsid w:val="00915C59"/>
    <w:rsid w:val="00916237"/>
    <w:rsid w:val="009162B9"/>
    <w:rsid w:val="009163F5"/>
    <w:rsid w:val="00916C24"/>
    <w:rsid w:val="00916EB8"/>
    <w:rsid w:val="00917739"/>
    <w:rsid w:val="0091774D"/>
    <w:rsid w:val="0092019B"/>
    <w:rsid w:val="009206BE"/>
    <w:rsid w:val="00920B2F"/>
    <w:rsid w:val="00920C2F"/>
    <w:rsid w:val="00920FB1"/>
    <w:rsid w:val="0092146D"/>
    <w:rsid w:val="0092178F"/>
    <w:rsid w:val="00921FC7"/>
    <w:rsid w:val="00922300"/>
    <w:rsid w:val="009223A7"/>
    <w:rsid w:val="00922426"/>
    <w:rsid w:val="009227F4"/>
    <w:rsid w:val="009229C7"/>
    <w:rsid w:val="0092302C"/>
    <w:rsid w:val="0092312E"/>
    <w:rsid w:val="00923688"/>
    <w:rsid w:val="00923A52"/>
    <w:rsid w:val="00924F80"/>
    <w:rsid w:val="00925B08"/>
    <w:rsid w:val="00925DE9"/>
    <w:rsid w:val="00926149"/>
    <w:rsid w:val="009264CF"/>
    <w:rsid w:val="0092653B"/>
    <w:rsid w:val="009265B8"/>
    <w:rsid w:val="009265D9"/>
    <w:rsid w:val="009269DC"/>
    <w:rsid w:val="00926FDA"/>
    <w:rsid w:val="009271D4"/>
    <w:rsid w:val="009304C8"/>
    <w:rsid w:val="00930527"/>
    <w:rsid w:val="00930611"/>
    <w:rsid w:val="00930836"/>
    <w:rsid w:val="00930956"/>
    <w:rsid w:val="00931779"/>
    <w:rsid w:val="00931FA2"/>
    <w:rsid w:val="009322AE"/>
    <w:rsid w:val="0093246F"/>
    <w:rsid w:val="00932AEF"/>
    <w:rsid w:val="00932B8E"/>
    <w:rsid w:val="00932BFE"/>
    <w:rsid w:val="00932D9B"/>
    <w:rsid w:val="00933002"/>
    <w:rsid w:val="0093313A"/>
    <w:rsid w:val="009331C5"/>
    <w:rsid w:val="0093327F"/>
    <w:rsid w:val="009334DA"/>
    <w:rsid w:val="00933F5A"/>
    <w:rsid w:val="0093448B"/>
    <w:rsid w:val="00934725"/>
    <w:rsid w:val="00934790"/>
    <w:rsid w:val="00934AD4"/>
    <w:rsid w:val="00934AD9"/>
    <w:rsid w:val="00934AE9"/>
    <w:rsid w:val="00935334"/>
    <w:rsid w:val="00935998"/>
    <w:rsid w:val="009359AF"/>
    <w:rsid w:val="00935C0F"/>
    <w:rsid w:val="00935C63"/>
    <w:rsid w:val="00935DE9"/>
    <w:rsid w:val="00935E93"/>
    <w:rsid w:val="009361A7"/>
    <w:rsid w:val="00936B34"/>
    <w:rsid w:val="009375B5"/>
    <w:rsid w:val="00937B69"/>
    <w:rsid w:val="00937DA9"/>
    <w:rsid w:val="00937DDB"/>
    <w:rsid w:val="00940255"/>
    <w:rsid w:val="009408BC"/>
    <w:rsid w:val="00940B7D"/>
    <w:rsid w:val="00940D0C"/>
    <w:rsid w:val="00940D1C"/>
    <w:rsid w:val="00940F8C"/>
    <w:rsid w:val="00941185"/>
    <w:rsid w:val="009412AA"/>
    <w:rsid w:val="009414FE"/>
    <w:rsid w:val="009421B1"/>
    <w:rsid w:val="00942208"/>
    <w:rsid w:val="00942366"/>
    <w:rsid w:val="00942FF7"/>
    <w:rsid w:val="009432D3"/>
    <w:rsid w:val="009432E6"/>
    <w:rsid w:val="00943C2D"/>
    <w:rsid w:val="00943C68"/>
    <w:rsid w:val="00944BBA"/>
    <w:rsid w:val="00944BD4"/>
    <w:rsid w:val="009452DE"/>
    <w:rsid w:val="00945597"/>
    <w:rsid w:val="009455A6"/>
    <w:rsid w:val="00945686"/>
    <w:rsid w:val="00945AB8"/>
    <w:rsid w:val="00945D8F"/>
    <w:rsid w:val="00945EF2"/>
    <w:rsid w:val="00945EF8"/>
    <w:rsid w:val="00945EFF"/>
    <w:rsid w:val="0094666A"/>
    <w:rsid w:val="0094723F"/>
    <w:rsid w:val="00947463"/>
    <w:rsid w:val="00947806"/>
    <w:rsid w:val="009506D1"/>
    <w:rsid w:val="00950CEB"/>
    <w:rsid w:val="009518A7"/>
    <w:rsid w:val="00951F22"/>
    <w:rsid w:val="00952311"/>
    <w:rsid w:val="0095263E"/>
    <w:rsid w:val="009529FC"/>
    <w:rsid w:val="00953028"/>
    <w:rsid w:val="00953160"/>
    <w:rsid w:val="0095368D"/>
    <w:rsid w:val="009536D2"/>
    <w:rsid w:val="0095389D"/>
    <w:rsid w:val="0095391F"/>
    <w:rsid w:val="00953EA5"/>
    <w:rsid w:val="0095438F"/>
    <w:rsid w:val="009546DB"/>
    <w:rsid w:val="009549A3"/>
    <w:rsid w:val="00954C3D"/>
    <w:rsid w:val="00954EB9"/>
    <w:rsid w:val="00954EBF"/>
    <w:rsid w:val="00955D12"/>
    <w:rsid w:val="00955E13"/>
    <w:rsid w:val="00956049"/>
    <w:rsid w:val="0095631E"/>
    <w:rsid w:val="00956A11"/>
    <w:rsid w:val="00956CC6"/>
    <w:rsid w:val="00957B1A"/>
    <w:rsid w:val="00957BF1"/>
    <w:rsid w:val="00957E79"/>
    <w:rsid w:val="009603F2"/>
    <w:rsid w:val="00960869"/>
    <w:rsid w:val="00961152"/>
    <w:rsid w:val="009618B5"/>
    <w:rsid w:val="00961A64"/>
    <w:rsid w:val="00962200"/>
    <w:rsid w:val="0096252D"/>
    <w:rsid w:val="0096276A"/>
    <w:rsid w:val="00962793"/>
    <w:rsid w:val="009629B8"/>
    <w:rsid w:val="00962C53"/>
    <w:rsid w:val="00962FF3"/>
    <w:rsid w:val="009633B7"/>
    <w:rsid w:val="00963A2F"/>
    <w:rsid w:val="00963C50"/>
    <w:rsid w:val="00963E99"/>
    <w:rsid w:val="0096436F"/>
    <w:rsid w:val="0096441B"/>
    <w:rsid w:val="0096444B"/>
    <w:rsid w:val="0096460E"/>
    <w:rsid w:val="009648C5"/>
    <w:rsid w:val="00964E4D"/>
    <w:rsid w:val="009652D8"/>
    <w:rsid w:val="00966AF3"/>
    <w:rsid w:val="00966DA0"/>
    <w:rsid w:val="0096716F"/>
    <w:rsid w:val="009671B6"/>
    <w:rsid w:val="00967489"/>
    <w:rsid w:val="0096753D"/>
    <w:rsid w:val="009677DE"/>
    <w:rsid w:val="00967F05"/>
    <w:rsid w:val="00970775"/>
    <w:rsid w:val="0097078E"/>
    <w:rsid w:val="00970EC6"/>
    <w:rsid w:val="0097112E"/>
    <w:rsid w:val="00971870"/>
    <w:rsid w:val="00971CED"/>
    <w:rsid w:val="00971E70"/>
    <w:rsid w:val="009724EB"/>
    <w:rsid w:val="009725A3"/>
    <w:rsid w:val="00972B9C"/>
    <w:rsid w:val="00972FEC"/>
    <w:rsid w:val="0097324C"/>
    <w:rsid w:val="009732EF"/>
    <w:rsid w:val="00973ED5"/>
    <w:rsid w:val="00974007"/>
    <w:rsid w:val="00974092"/>
    <w:rsid w:val="009740EE"/>
    <w:rsid w:val="0097493D"/>
    <w:rsid w:val="00974A8B"/>
    <w:rsid w:val="00974D31"/>
    <w:rsid w:val="00974E2D"/>
    <w:rsid w:val="0097500C"/>
    <w:rsid w:val="009753ED"/>
    <w:rsid w:val="00975422"/>
    <w:rsid w:val="00976024"/>
    <w:rsid w:val="00976226"/>
    <w:rsid w:val="00976325"/>
    <w:rsid w:val="00976336"/>
    <w:rsid w:val="00976544"/>
    <w:rsid w:val="00976901"/>
    <w:rsid w:val="00976C17"/>
    <w:rsid w:val="0097720C"/>
    <w:rsid w:val="0097768E"/>
    <w:rsid w:val="00977711"/>
    <w:rsid w:val="009777B9"/>
    <w:rsid w:val="009778FA"/>
    <w:rsid w:val="00977911"/>
    <w:rsid w:val="00977E83"/>
    <w:rsid w:val="00980001"/>
    <w:rsid w:val="0098013E"/>
    <w:rsid w:val="0098076D"/>
    <w:rsid w:val="0098084A"/>
    <w:rsid w:val="00980CCE"/>
    <w:rsid w:val="00980D3F"/>
    <w:rsid w:val="009812C0"/>
    <w:rsid w:val="009814D2"/>
    <w:rsid w:val="00981795"/>
    <w:rsid w:val="009817E0"/>
    <w:rsid w:val="009822C6"/>
    <w:rsid w:val="009828AE"/>
    <w:rsid w:val="00982C85"/>
    <w:rsid w:val="00982CFA"/>
    <w:rsid w:val="009839FE"/>
    <w:rsid w:val="00983CB4"/>
    <w:rsid w:val="00983D7F"/>
    <w:rsid w:val="0098445B"/>
    <w:rsid w:val="0098465F"/>
    <w:rsid w:val="00984CCE"/>
    <w:rsid w:val="00985448"/>
    <w:rsid w:val="0098559E"/>
    <w:rsid w:val="009856F9"/>
    <w:rsid w:val="00985750"/>
    <w:rsid w:val="009857DA"/>
    <w:rsid w:val="0098647E"/>
    <w:rsid w:val="00986781"/>
    <w:rsid w:val="00986E95"/>
    <w:rsid w:val="00987497"/>
    <w:rsid w:val="00987540"/>
    <w:rsid w:val="00987979"/>
    <w:rsid w:val="00987D43"/>
    <w:rsid w:val="00987EDB"/>
    <w:rsid w:val="0099030F"/>
    <w:rsid w:val="00990654"/>
    <w:rsid w:val="00990B55"/>
    <w:rsid w:val="00990FBE"/>
    <w:rsid w:val="00990FCC"/>
    <w:rsid w:val="00991074"/>
    <w:rsid w:val="009911B5"/>
    <w:rsid w:val="00991457"/>
    <w:rsid w:val="00991920"/>
    <w:rsid w:val="00991C84"/>
    <w:rsid w:val="00991D83"/>
    <w:rsid w:val="0099239A"/>
    <w:rsid w:val="009926D3"/>
    <w:rsid w:val="009927FD"/>
    <w:rsid w:val="00992B01"/>
    <w:rsid w:val="00992C44"/>
    <w:rsid w:val="00993356"/>
    <w:rsid w:val="00993CCF"/>
    <w:rsid w:val="00993E42"/>
    <w:rsid w:val="0099406F"/>
    <w:rsid w:val="00994424"/>
    <w:rsid w:val="00994767"/>
    <w:rsid w:val="009948C5"/>
    <w:rsid w:val="009949CB"/>
    <w:rsid w:val="0099535D"/>
    <w:rsid w:val="00995419"/>
    <w:rsid w:val="009959DC"/>
    <w:rsid w:val="00995B93"/>
    <w:rsid w:val="00995BC7"/>
    <w:rsid w:val="00995C46"/>
    <w:rsid w:val="00995D76"/>
    <w:rsid w:val="00995DD3"/>
    <w:rsid w:val="00995F56"/>
    <w:rsid w:val="00996193"/>
    <w:rsid w:val="00996429"/>
    <w:rsid w:val="00996431"/>
    <w:rsid w:val="00996ED4"/>
    <w:rsid w:val="00997009"/>
    <w:rsid w:val="009971F7"/>
    <w:rsid w:val="00997364"/>
    <w:rsid w:val="009975DA"/>
    <w:rsid w:val="009977CD"/>
    <w:rsid w:val="00997AED"/>
    <w:rsid w:val="00997B4D"/>
    <w:rsid w:val="009A0228"/>
    <w:rsid w:val="009A09FD"/>
    <w:rsid w:val="009A0D88"/>
    <w:rsid w:val="009A0EC5"/>
    <w:rsid w:val="009A16B9"/>
    <w:rsid w:val="009A181D"/>
    <w:rsid w:val="009A183E"/>
    <w:rsid w:val="009A1A18"/>
    <w:rsid w:val="009A1B4B"/>
    <w:rsid w:val="009A2508"/>
    <w:rsid w:val="009A2751"/>
    <w:rsid w:val="009A2BD7"/>
    <w:rsid w:val="009A36CC"/>
    <w:rsid w:val="009A4CAE"/>
    <w:rsid w:val="009A4FED"/>
    <w:rsid w:val="009A5078"/>
    <w:rsid w:val="009A5179"/>
    <w:rsid w:val="009A5C4D"/>
    <w:rsid w:val="009A5C71"/>
    <w:rsid w:val="009A600F"/>
    <w:rsid w:val="009A6376"/>
    <w:rsid w:val="009A6AB5"/>
    <w:rsid w:val="009A743A"/>
    <w:rsid w:val="009A749E"/>
    <w:rsid w:val="009A7BF4"/>
    <w:rsid w:val="009A7F2D"/>
    <w:rsid w:val="009B001B"/>
    <w:rsid w:val="009B009A"/>
    <w:rsid w:val="009B028B"/>
    <w:rsid w:val="009B039E"/>
    <w:rsid w:val="009B05D9"/>
    <w:rsid w:val="009B0711"/>
    <w:rsid w:val="009B0A61"/>
    <w:rsid w:val="009B1757"/>
    <w:rsid w:val="009B22E0"/>
    <w:rsid w:val="009B25E0"/>
    <w:rsid w:val="009B2D45"/>
    <w:rsid w:val="009B2EBF"/>
    <w:rsid w:val="009B2EF3"/>
    <w:rsid w:val="009B462A"/>
    <w:rsid w:val="009B4CBD"/>
    <w:rsid w:val="009B51F3"/>
    <w:rsid w:val="009B546C"/>
    <w:rsid w:val="009B5A05"/>
    <w:rsid w:val="009B5BC5"/>
    <w:rsid w:val="009B5E71"/>
    <w:rsid w:val="009B619C"/>
    <w:rsid w:val="009B65C5"/>
    <w:rsid w:val="009B679F"/>
    <w:rsid w:val="009B67F4"/>
    <w:rsid w:val="009B6997"/>
    <w:rsid w:val="009B69E6"/>
    <w:rsid w:val="009B6B23"/>
    <w:rsid w:val="009B6B3A"/>
    <w:rsid w:val="009B73DF"/>
    <w:rsid w:val="009B7AFA"/>
    <w:rsid w:val="009B7F5C"/>
    <w:rsid w:val="009C02EF"/>
    <w:rsid w:val="009C083D"/>
    <w:rsid w:val="009C09F1"/>
    <w:rsid w:val="009C0ABE"/>
    <w:rsid w:val="009C0E82"/>
    <w:rsid w:val="009C10A9"/>
    <w:rsid w:val="009C1136"/>
    <w:rsid w:val="009C1169"/>
    <w:rsid w:val="009C128D"/>
    <w:rsid w:val="009C196F"/>
    <w:rsid w:val="009C2095"/>
    <w:rsid w:val="009C2BE8"/>
    <w:rsid w:val="009C2CFB"/>
    <w:rsid w:val="009C2E4C"/>
    <w:rsid w:val="009C3AF6"/>
    <w:rsid w:val="009C3D13"/>
    <w:rsid w:val="009C405A"/>
    <w:rsid w:val="009C42E4"/>
    <w:rsid w:val="009C525B"/>
    <w:rsid w:val="009C5EEE"/>
    <w:rsid w:val="009C629B"/>
    <w:rsid w:val="009C6742"/>
    <w:rsid w:val="009C6EA0"/>
    <w:rsid w:val="009C7145"/>
    <w:rsid w:val="009C742B"/>
    <w:rsid w:val="009C74B6"/>
    <w:rsid w:val="009C7C56"/>
    <w:rsid w:val="009C7CD9"/>
    <w:rsid w:val="009C7EFE"/>
    <w:rsid w:val="009C7F22"/>
    <w:rsid w:val="009D0081"/>
    <w:rsid w:val="009D0195"/>
    <w:rsid w:val="009D0B49"/>
    <w:rsid w:val="009D10B6"/>
    <w:rsid w:val="009D10BC"/>
    <w:rsid w:val="009D16E8"/>
    <w:rsid w:val="009D1C45"/>
    <w:rsid w:val="009D1D7B"/>
    <w:rsid w:val="009D1E80"/>
    <w:rsid w:val="009D29DC"/>
    <w:rsid w:val="009D2CF9"/>
    <w:rsid w:val="009D2D7C"/>
    <w:rsid w:val="009D346E"/>
    <w:rsid w:val="009D36A8"/>
    <w:rsid w:val="009D3BEE"/>
    <w:rsid w:val="009D3EE3"/>
    <w:rsid w:val="009D3F53"/>
    <w:rsid w:val="009D437E"/>
    <w:rsid w:val="009D5600"/>
    <w:rsid w:val="009D58C4"/>
    <w:rsid w:val="009D5F96"/>
    <w:rsid w:val="009D6A87"/>
    <w:rsid w:val="009D6CE4"/>
    <w:rsid w:val="009D6CFB"/>
    <w:rsid w:val="009D6FB8"/>
    <w:rsid w:val="009D71E3"/>
    <w:rsid w:val="009D7624"/>
    <w:rsid w:val="009D7A32"/>
    <w:rsid w:val="009E0215"/>
    <w:rsid w:val="009E02E1"/>
    <w:rsid w:val="009E03A9"/>
    <w:rsid w:val="009E0499"/>
    <w:rsid w:val="009E0729"/>
    <w:rsid w:val="009E0B06"/>
    <w:rsid w:val="009E0C85"/>
    <w:rsid w:val="009E0DA4"/>
    <w:rsid w:val="009E0E6E"/>
    <w:rsid w:val="009E1528"/>
    <w:rsid w:val="009E1E7F"/>
    <w:rsid w:val="009E2108"/>
    <w:rsid w:val="009E21C3"/>
    <w:rsid w:val="009E2916"/>
    <w:rsid w:val="009E2FC0"/>
    <w:rsid w:val="009E32A9"/>
    <w:rsid w:val="009E3611"/>
    <w:rsid w:val="009E3AF9"/>
    <w:rsid w:val="009E3CF7"/>
    <w:rsid w:val="009E3DF9"/>
    <w:rsid w:val="009E434D"/>
    <w:rsid w:val="009E472E"/>
    <w:rsid w:val="009E4A9E"/>
    <w:rsid w:val="009E4BA1"/>
    <w:rsid w:val="009E4BEE"/>
    <w:rsid w:val="009E59AA"/>
    <w:rsid w:val="009E5A3F"/>
    <w:rsid w:val="009E5E99"/>
    <w:rsid w:val="009E6059"/>
    <w:rsid w:val="009E6186"/>
    <w:rsid w:val="009E6397"/>
    <w:rsid w:val="009E6550"/>
    <w:rsid w:val="009E67D4"/>
    <w:rsid w:val="009E696B"/>
    <w:rsid w:val="009E6D17"/>
    <w:rsid w:val="009E6E4F"/>
    <w:rsid w:val="009E6FBB"/>
    <w:rsid w:val="009E70F8"/>
    <w:rsid w:val="009E716F"/>
    <w:rsid w:val="009E7B13"/>
    <w:rsid w:val="009E7EA2"/>
    <w:rsid w:val="009F001F"/>
    <w:rsid w:val="009F0354"/>
    <w:rsid w:val="009F06B7"/>
    <w:rsid w:val="009F0BAA"/>
    <w:rsid w:val="009F0EAA"/>
    <w:rsid w:val="009F0F20"/>
    <w:rsid w:val="009F1794"/>
    <w:rsid w:val="009F1958"/>
    <w:rsid w:val="009F23F9"/>
    <w:rsid w:val="009F24B6"/>
    <w:rsid w:val="009F266D"/>
    <w:rsid w:val="009F28A6"/>
    <w:rsid w:val="009F3350"/>
    <w:rsid w:val="009F3522"/>
    <w:rsid w:val="009F35CA"/>
    <w:rsid w:val="009F37E5"/>
    <w:rsid w:val="009F3842"/>
    <w:rsid w:val="009F43A0"/>
    <w:rsid w:val="009F4666"/>
    <w:rsid w:val="009F5057"/>
    <w:rsid w:val="009F5166"/>
    <w:rsid w:val="009F51CB"/>
    <w:rsid w:val="009F530C"/>
    <w:rsid w:val="009F54EE"/>
    <w:rsid w:val="009F56EF"/>
    <w:rsid w:val="009F5943"/>
    <w:rsid w:val="009F5A0B"/>
    <w:rsid w:val="009F5CDE"/>
    <w:rsid w:val="009F5DE3"/>
    <w:rsid w:val="009F6656"/>
    <w:rsid w:val="009F67B6"/>
    <w:rsid w:val="009F6B1C"/>
    <w:rsid w:val="009F6FF0"/>
    <w:rsid w:val="009F7431"/>
    <w:rsid w:val="009F7564"/>
    <w:rsid w:val="00A001E5"/>
    <w:rsid w:val="00A00272"/>
    <w:rsid w:val="00A008A9"/>
    <w:rsid w:val="00A00B55"/>
    <w:rsid w:val="00A01134"/>
    <w:rsid w:val="00A01FE2"/>
    <w:rsid w:val="00A02208"/>
    <w:rsid w:val="00A0279D"/>
    <w:rsid w:val="00A02805"/>
    <w:rsid w:val="00A02989"/>
    <w:rsid w:val="00A02B2E"/>
    <w:rsid w:val="00A031D3"/>
    <w:rsid w:val="00A03204"/>
    <w:rsid w:val="00A0351E"/>
    <w:rsid w:val="00A03BBF"/>
    <w:rsid w:val="00A03E48"/>
    <w:rsid w:val="00A0412A"/>
    <w:rsid w:val="00A04A9E"/>
    <w:rsid w:val="00A04C51"/>
    <w:rsid w:val="00A04DF3"/>
    <w:rsid w:val="00A04E0A"/>
    <w:rsid w:val="00A0503C"/>
    <w:rsid w:val="00A0504B"/>
    <w:rsid w:val="00A05355"/>
    <w:rsid w:val="00A05765"/>
    <w:rsid w:val="00A06257"/>
    <w:rsid w:val="00A0660D"/>
    <w:rsid w:val="00A06B60"/>
    <w:rsid w:val="00A06EF9"/>
    <w:rsid w:val="00A102E0"/>
    <w:rsid w:val="00A10541"/>
    <w:rsid w:val="00A10C49"/>
    <w:rsid w:val="00A10C7D"/>
    <w:rsid w:val="00A10DE5"/>
    <w:rsid w:val="00A11366"/>
    <w:rsid w:val="00A114C7"/>
    <w:rsid w:val="00A11D65"/>
    <w:rsid w:val="00A12425"/>
    <w:rsid w:val="00A1296C"/>
    <w:rsid w:val="00A12A27"/>
    <w:rsid w:val="00A12B47"/>
    <w:rsid w:val="00A12B86"/>
    <w:rsid w:val="00A13458"/>
    <w:rsid w:val="00A13477"/>
    <w:rsid w:val="00A135E6"/>
    <w:rsid w:val="00A13617"/>
    <w:rsid w:val="00A13796"/>
    <w:rsid w:val="00A137AC"/>
    <w:rsid w:val="00A13DEE"/>
    <w:rsid w:val="00A13EB6"/>
    <w:rsid w:val="00A1424F"/>
    <w:rsid w:val="00A143BC"/>
    <w:rsid w:val="00A14490"/>
    <w:rsid w:val="00A145F6"/>
    <w:rsid w:val="00A14EE7"/>
    <w:rsid w:val="00A15247"/>
    <w:rsid w:val="00A153CD"/>
    <w:rsid w:val="00A1596E"/>
    <w:rsid w:val="00A1610F"/>
    <w:rsid w:val="00A16163"/>
    <w:rsid w:val="00A16872"/>
    <w:rsid w:val="00A16C19"/>
    <w:rsid w:val="00A16EE7"/>
    <w:rsid w:val="00A17437"/>
    <w:rsid w:val="00A179B6"/>
    <w:rsid w:val="00A17A1B"/>
    <w:rsid w:val="00A200A8"/>
    <w:rsid w:val="00A2019E"/>
    <w:rsid w:val="00A201FD"/>
    <w:rsid w:val="00A202EF"/>
    <w:rsid w:val="00A2030C"/>
    <w:rsid w:val="00A207D4"/>
    <w:rsid w:val="00A20947"/>
    <w:rsid w:val="00A20A4C"/>
    <w:rsid w:val="00A2106F"/>
    <w:rsid w:val="00A2152A"/>
    <w:rsid w:val="00A21A07"/>
    <w:rsid w:val="00A21DEF"/>
    <w:rsid w:val="00A21E7E"/>
    <w:rsid w:val="00A2275C"/>
    <w:rsid w:val="00A22A61"/>
    <w:rsid w:val="00A22B2B"/>
    <w:rsid w:val="00A22FC3"/>
    <w:rsid w:val="00A23361"/>
    <w:rsid w:val="00A23837"/>
    <w:rsid w:val="00A23A4C"/>
    <w:rsid w:val="00A23C31"/>
    <w:rsid w:val="00A2425B"/>
    <w:rsid w:val="00A2453B"/>
    <w:rsid w:val="00A245DF"/>
    <w:rsid w:val="00A24A29"/>
    <w:rsid w:val="00A24BAD"/>
    <w:rsid w:val="00A24D01"/>
    <w:rsid w:val="00A24F36"/>
    <w:rsid w:val="00A25407"/>
    <w:rsid w:val="00A254CD"/>
    <w:rsid w:val="00A257E4"/>
    <w:rsid w:val="00A259EB"/>
    <w:rsid w:val="00A25BEA"/>
    <w:rsid w:val="00A2605E"/>
    <w:rsid w:val="00A2626C"/>
    <w:rsid w:val="00A268C8"/>
    <w:rsid w:val="00A26999"/>
    <w:rsid w:val="00A2750E"/>
    <w:rsid w:val="00A2780C"/>
    <w:rsid w:val="00A27C67"/>
    <w:rsid w:val="00A27D2C"/>
    <w:rsid w:val="00A27E2C"/>
    <w:rsid w:val="00A30476"/>
    <w:rsid w:val="00A30B55"/>
    <w:rsid w:val="00A30CC9"/>
    <w:rsid w:val="00A30D13"/>
    <w:rsid w:val="00A30FFC"/>
    <w:rsid w:val="00A31507"/>
    <w:rsid w:val="00A3168A"/>
    <w:rsid w:val="00A322AA"/>
    <w:rsid w:val="00A323A3"/>
    <w:rsid w:val="00A323D9"/>
    <w:rsid w:val="00A326AC"/>
    <w:rsid w:val="00A32840"/>
    <w:rsid w:val="00A32DDD"/>
    <w:rsid w:val="00A3313B"/>
    <w:rsid w:val="00A33243"/>
    <w:rsid w:val="00A3335E"/>
    <w:rsid w:val="00A336EB"/>
    <w:rsid w:val="00A33E98"/>
    <w:rsid w:val="00A3454A"/>
    <w:rsid w:val="00A345BF"/>
    <w:rsid w:val="00A34A46"/>
    <w:rsid w:val="00A34C72"/>
    <w:rsid w:val="00A34EBE"/>
    <w:rsid w:val="00A350DA"/>
    <w:rsid w:val="00A35284"/>
    <w:rsid w:val="00A3541B"/>
    <w:rsid w:val="00A35A02"/>
    <w:rsid w:val="00A35A8B"/>
    <w:rsid w:val="00A35AD4"/>
    <w:rsid w:val="00A36054"/>
    <w:rsid w:val="00A36129"/>
    <w:rsid w:val="00A3697E"/>
    <w:rsid w:val="00A369F4"/>
    <w:rsid w:val="00A36E0F"/>
    <w:rsid w:val="00A3712B"/>
    <w:rsid w:val="00A37873"/>
    <w:rsid w:val="00A37B1D"/>
    <w:rsid w:val="00A400AC"/>
    <w:rsid w:val="00A400F3"/>
    <w:rsid w:val="00A40CEE"/>
    <w:rsid w:val="00A412A8"/>
    <w:rsid w:val="00A41332"/>
    <w:rsid w:val="00A41D3E"/>
    <w:rsid w:val="00A42170"/>
    <w:rsid w:val="00A42740"/>
    <w:rsid w:val="00A427D8"/>
    <w:rsid w:val="00A42EA9"/>
    <w:rsid w:val="00A4388A"/>
    <w:rsid w:val="00A43908"/>
    <w:rsid w:val="00A43A5D"/>
    <w:rsid w:val="00A43AD6"/>
    <w:rsid w:val="00A43FA2"/>
    <w:rsid w:val="00A44076"/>
    <w:rsid w:val="00A44857"/>
    <w:rsid w:val="00A44943"/>
    <w:rsid w:val="00A44BF1"/>
    <w:rsid w:val="00A451C8"/>
    <w:rsid w:val="00A4522C"/>
    <w:rsid w:val="00A4539D"/>
    <w:rsid w:val="00A45998"/>
    <w:rsid w:val="00A45BCA"/>
    <w:rsid w:val="00A45DC6"/>
    <w:rsid w:val="00A45EBB"/>
    <w:rsid w:val="00A4687F"/>
    <w:rsid w:val="00A469D7"/>
    <w:rsid w:val="00A470DC"/>
    <w:rsid w:val="00A47273"/>
    <w:rsid w:val="00A473CD"/>
    <w:rsid w:val="00A4779E"/>
    <w:rsid w:val="00A47BEA"/>
    <w:rsid w:val="00A47E79"/>
    <w:rsid w:val="00A502ED"/>
    <w:rsid w:val="00A50A9B"/>
    <w:rsid w:val="00A50E9B"/>
    <w:rsid w:val="00A512EC"/>
    <w:rsid w:val="00A514E2"/>
    <w:rsid w:val="00A516BC"/>
    <w:rsid w:val="00A51B3D"/>
    <w:rsid w:val="00A51CF2"/>
    <w:rsid w:val="00A52098"/>
    <w:rsid w:val="00A52544"/>
    <w:rsid w:val="00A525BE"/>
    <w:rsid w:val="00A52DD1"/>
    <w:rsid w:val="00A53AC6"/>
    <w:rsid w:val="00A53B46"/>
    <w:rsid w:val="00A53CAA"/>
    <w:rsid w:val="00A53E7F"/>
    <w:rsid w:val="00A54703"/>
    <w:rsid w:val="00A54907"/>
    <w:rsid w:val="00A54A0B"/>
    <w:rsid w:val="00A54FA6"/>
    <w:rsid w:val="00A557BA"/>
    <w:rsid w:val="00A55E50"/>
    <w:rsid w:val="00A55F23"/>
    <w:rsid w:val="00A5606F"/>
    <w:rsid w:val="00A565C8"/>
    <w:rsid w:val="00A57028"/>
    <w:rsid w:val="00A570C2"/>
    <w:rsid w:val="00A579C5"/>
    <w:rsid w:val="00A57BFD"/>
    <w:rsid w:val="00A57C38"/>
    <w:rsid w:val="00A57EA2"/>
    <w:rsid w:val="00A57F64"/>
    <w:rsid w:val="00A605A0"/>
    <w:rsid w:val="00A608E1"/>
    <w:rsid w:val="00A614D2"/>
    <w:rsid w:val="00A624B8"/>
    <w:rsid w:val="00A6295D"/>
    <w:rsid w:val="00A62F78"/>
    <w:rsid w:val="00A6311E"/>
    <w:rsid w:val="00A63812"/>
    <w:rsid w:val="00A63BD6"/>
    <w:rsid w:val="00A63E14"/>
    <w:rsid w:val="00A63E7C"/>
    <w:rsid w:val="00A640CD"/>
    <w:rsid w:val="00A64625"/>
    <w:rsid w:val="00A64AF0"/>
    <w:rsid w:val="00A64FBE"/>
    <w:rsid w:val="00A652D9"/>
    <w:rsid w:val="00A65386"/>
    <w:rsid w:val="00A655EA"/>
    <w:rsid w:val="00A65BE0"/>
    <w:rsid w:val="00A65C0B"/>
    <w:rsid w:val="00A65DEC"/>
    <w:rsid w:val="00A65F38"/>
    <w:rsid w:val="00A663CF"/>
    <w:rsid w:val="00A665D1"/>
    <w:rsid w:val="00A66896"/>
    <w:rsid w:val="00A66940"/>
    <w:rsid w:val="00A66CC8"/>
    <w:rsid w:val="00A66FDD"/>
    <w:rsid w:val="00A67392"/>
    <w:rsid w:val="00A67396"/>
    <w:rsid w:val="00A6774F"/>
    <w:rsid w:val="00A67794"/>
    <w:rsid w:val="00A67A62"/>
    <w:rsid w:val="00A67C3C"/>
    <w:rsid w:val="00A67F9E"/>
    <w:rsid w:val="00A67FEE"/>
    <w:rsid w:val="00A7006C"/>
    <w:rsid w:val="00A70288"/>
    <w:rsid w:val="00A707F6"/>
    <w:rsid w:val="00A70915"/>
    <w:rsid w:val="00A70F0D"/>
    <w:rsid w:val="00A715ED"/>
    <w:rsid w:val="00A72599"/>
    <w:rsid w:val="00A727F5"/>
    <w:rsid w:val="00A72B0D"/>
    <w:rsid w:val="00A72D50"/>
    <w:rsid w:val="00A732D7"/>
    <w:rsid w:val="00A73DD1"/>
    <w:rsid w:val="00A73F52"/>
    <w:rsid w:val="00A7472D"/>
    <w:rsid w:val="00A74EB0"/>
    <w:rsid w:val="00A751DA"/>
    <w:rsid w:val="00A755CA"/>
    <w:rsid w:val="00A75605"/>
    <w:rsid w:val="00A7581E"/>
    <w:rsid w:val="00A761C6"/>
    <w:rsid w:val="00A7657F"/>
    <w:rsid w:val="00A767FA"/>
    <w:rsid w:val="00A769E6"/>
    <w:rsid w:val="00A76D3F"/>
    <w:rsid w:val="00A76DEE"/>
    <w:rsid w:val="00A7711A"/>
    <w:rsid w:val="00A771D5"/>
    <w:rsid w:val="00A77467"/>
    <w:rsid w:val="00A77AD0"/>
    <w:rsid w:val="00A8071C"/>
    <w:rsid w:val="00A80A35"/>
    <w:rsid w:val="00A80C87"/>
    <w:rsid w:val="00A80DDA"/>
    <w:rsid w:val="00A80ED2"/>
    <w:rsid w:val="00A8141B"/>
    <w:rsid w:val="00A817D2"/>
    <w:rsid w:val="00A81982"/>
    <w:rsid w:val="00A81FEE"/>
    <w:rsid w:val="00A82B33"/>
    <w:rsid w:val="00A82E46"/>
    <w:rsid w:val="00A82F03"/>
    <w:rsid w:val="00A831A7"/>
    <w:rsid w:val="00A837AD"/>
    <w:rsid w:val="00A83C42"/>
    <w:rsid w:val="00A83CD4"/>
    <w:rsid w:val="00A83CDF"/>
    <w:rsid w:val="00A83FFF"/>
    <w:rsid w:val="00A8420A"/>
    <w:rsid w:val="00A84A03"/>
    <w:rsid w:val="00A852DE"/>
    <w:rsid w:val="00A8597C"/>
    <w:rsid w:val="00A85ABE"/>
    <w:rsid w:val="00A85DCC"/>
    <w:rsid w:val="00A85E8E"/>
    <w:rsid w:val="00A8606C"/>
    <w:rsid w:val="00A861C8"/>
    <w:rsid w:val="00A8662D"/>
    <w:rsid w:val="00A86721"/>
    <w:rsid w:val="00A86DC3"/>
    <w:rsid w:val="00A86EB1"/>
    <w:rsid w:val="00A87763"/>
    <w:rsid w:val="00A8785D"/>
    <w:rsid w:val="00A87CA0"/>
    <w:rsid w:val="00A9009F"/>
    <w:rsid w:val="00A90E75"/>
    <w:rsid w:val="00A91205"/>
    <w:rsid w:val="00A91391"/>
    <w:rsid w:val="00A91430"/>
    <w:rsid w:val="00A91D59"/>
    <w:rsid w:val="00A92062"/>
    <w:rsid w:val="00A920CE"/>
    <w:rsid w:val="00A922D6"/>
    <w:rsid w:val="00A92D54"/>
    <w:rsid w:val="00A92E07"/>
    <w:rsid w:val="00A92FFA"/>
    <w:rsid w:val="00A93235"/>
    <w:rsid w:val="00A93380"/>
    <w:rsid w:val="00A93520"/>
    <w:rsid w:val="00A93C07"/>
    <w:rsid w:val="00A943EA"/>
    <w:rsid w:val="00A94BC1"/>
    <w:rsid w:val="00A94DF6"/>
    <w:rsid w:val="00A9517E"/>
    <w:rsid w:val="00A95232"/>
    <w:rsid w:val="00A95573"/>
    <w:rsid w:val="00A95953"/>
    <w:rsid w:val="00A96022"/>
    <w:rsid w:val="00A96641"/>
    <w:rsid w:val="00A9671C"/>
    <w:rsid w:val="00A96B5E"/>
    <w:rsid w:val="00A97132"/>
    <w:rsid w:val="00A9736A"/>
    <w:rsid w:val="00A974B9"/>
    <w:rsid w:val="00AA003A"/>
    <w:rsid w:val="00AA082B"/>
    <w:rsid w:val="00AA08E3"/>
    <w:rsid w:val="00AA0909"/>
    <w:rsid w:val="00AA1148"/>
    <w:rsid w:val="00AA15FB"/>
    <w:rsid w:val="00AA16BF"/>
    <w:rsid w:val="00AA17A6"/>
    <w:rsid w:val="00AA1BE0"/>
    <w:rsid w:val="00AA1DEE"/>
    <w:rsid w:val="00AA20AF"/>
    <w:rsid w:val="00AA21E0"/>
    <w:rsid w:val="00AA226B"/>
    <w:rsid w:val="00AA24AE"/>
    <w:rsid w:val="00AA297F"/>
    <w:rsid w:val="00AA2FCD"/>
    <w:rsid w:val="00AA3202"/>
    <w:rsid w:val="00AA36C2"/>
    <w:rsid w:val="00AA37CF"/>
    <w:rsid w:val="00AA3819"/>
    <w:rsid w:val="00AA3E75"/>
    <w:rsid w:val="00AA40A0"/>
    <w:rsid w:val="00AA43F8"/>
    <w:rsid w:val="00AA4621"/>
    <w:rsid w:val="00AA4A45"/>
    <w:rsid w:val="00AA4C3B"/>
    <w:rsid w:val="00AA4FFF"/>
    <w:rsid w:val="00AA5E90"/>
    <w:rsid w:val="00AA612E"/>
    <w:rsid w:val="00AA67BD"/>
    <w:rsid w:val="00AA69E9"/>
    <w:rsid w:val="00AA6FBF"/>
    <w:rsid w:val="00AA73A1"/>
    <w:rsid w:val="00AA74BE"/>
    <w:rsid w:val="00AA7769"/>
    <w:rsid w:val="00AA7837"/>
    <w:rsid w:val="00AA7C8E"/>
    <w:rsid w:val="00AA7E0A"/>
    <w:rsid w:val="00AB0081"/>
    <w:rsid w:val="00AB0D12"/>
    <w:rsid w:val="00AB0DA6"/>
    <w:rsid w:val="00AB1390"/>
    <w:rsid w:val="00AB26FC"/>
    <w:rsid w:val="00AB3943"/>
    <w:rsid w:val="00AB3DB9"/>
    <w:rsid w:val="00AB3EAE"/>
    <w:rsid w:val="00AB44DD"/>
    <w:rsid w:val="00AB4AA7"/>
    <w:rsid w:val="00AB4BB7"/>
    <w:rsid w:val="00AB4D34"/>
    <w:rsid w:val="00AB4DAB"/>
    <w:rsid w:val="00AB502F"/>
    <w:rsid w:val="00AB56E9"/>
    <w:rsid w:val="00AB59CC"/>
    <w:rsid w:val="00AB5BEC"/>
    <w:rsid w:val="00AB61C3"/>
    <w:rsid w:val="00AB695A"/>
    <w:rsid w:val="00AB6B25"/>
    <w:rsid w:val="00AB7973"/>
    <w:rsid w:val="00AB7F57"/>
    <w:rsid w:val="00AC01F0"/>
    <w:rsid w:val="00AC02E3"/>
    <w:rsid w:val="00AC088B"/>
    <w:rsid w:val="00AC1327"/>
    <w:rsid w:val="00AC191B"/>
    <w:rsid w:val="00AC2A9D"/>
    <w:rsid w:val="00AC2B1B"/>
    <w:rsid w:val="00AC2B87"/>
    <w:rsid w:val="00AC2F2E"/>
    <w:rsid w:val="00AC2FE6"/>
    <w:rsid w:val="00AC351C"/>
    <w:rsid w:val="00AC353B"/>
    <w:rsid w:val="00AC3716"/>
    <w:rsid w:val="00AC3F65"/>
    <w:rsid w:val="00AC43AC"/>
    <w:rsid w:val="00AC4873"/>
    <w:rsid w:val="00AC4DFA"/>
    <w:rsid w:val="00AC50EB"/>
    <w:rsid w:val="00AC511C"/>
    <w:rsid w:val="00AC51EC"/>
    <w:rsid w:val="00AC5B65"/>
    <w:rsid w:val="00AC6099"/>
    <w:rsid w:val="00AC6288"/>
    <w:rsid w:val="00AC67AD"/>
    <w:rsid w:val="00AC68AE"/>
    <w:rsid w:val="00AC6CEF"/>
    <w:rsid w:val="00AC6D11"/>
    <w:rsid w:val="00AC7B1E"/>
    <w:rsid w:val="00AD0751"/>
    <w:rsid w:val="00AD0A20"/>
    <w:rsid w:val="00AD0BE0"/>
    <w:rsid w:val="00AD1382"/>
    <w:rsid w:val="00AD1812"/>
    <w:rsid w:val="00AD20A6"/>
    <w:rsid w:val="00AD218D"/>
    <w:rsid w:val="00AD2A44"/>
    <w:rsid w:val="00AD2DA7"/>
    <w:rsid w:val="00AD3624"/>
    <w:rsid w:val="00AD3A17"/>
    <w:rsid w:val="00AD3C14"/>
    <w:rsid w:val="00AD3EEB"/>
    <w:rsid w:val="00AD44DC"/>
    <w:rsid w:val="00AD4525"/>
    <w:rsid w:val="00AD4568"/>
    <w:rsid w:val="00AD47A4"/>
    <w:rsid w:val="00AD47F3"/>
    <w:rsid w:val="00AD4C7E"/>
    <w:rsid w:val="00AD51A1"/>
    <w:rsid w:val="00AD5360"/>
    <w:rsid w:val="00AD53B7"/>
    <w:rsid w:val="00AD59F5"/>
    <w:rsid w:val="00AD5A12"/>
    <w:rsid w:val="00AD5A31"/>
    <w:rsid w:val="00AD5D30"/>
    <w:rsid w:val="00AD5F33"/>
    <w:rsid w:val="00AD61CF"/>
    <w:rsid w:val="00AD6AFE"/>
    <w:rsid w:val="00AD6CB4"/>
    <w:rsid w:val="00AD6D97"/>
    <w:rsid w:val="00AD71D2"/>
    <w:rsid w:val="00AD7337"/>
    <w:rsid w:val="00AD7A7C"/>
    <w:rsid w:val="00AE037C"/>
    <w:rsid w:val="00AE0926"/>
    <w:rsid w:val="00AE0DC1"/>
    <w:rsid w:val="00AE180A"/>
    <w:rsid w:val="00AE19A6"/>
    <w:rsid w:val="00AE1C09"/>
    <w:rsid w:val="00AE24E9"/>
    <w:rsid w:val="00AE2537"/>
    <w:rsid w:val="00AE291F"/>
    <w:rsid w:val="00AE3854"/>
    <w:rsid w:val="00AE3B66"/>
    <w:rsid w:val="00AE3D7F"/>
    <w:rsid w:val="00AE3E9E"/>
    <w:rsid w:val="00AE417D"/>
    <w:rsid w:val="00AE4510"/>
    <w:rsid w:val="00AE4B97"/>
    <w:rsid w:val="00AE5391"/>
    <w:rsid w:val="00AE5691"/>
    <w:rsid w:val="00AE57FF"/>
    <w:rsid w:val="00AE5DA2"/>
    <w:rsid w:val="00AE5F69"/>
    <w:rsid w:val="00AE6A36"/>
    <w:rsid w:val="00AE6CB3"/>
    <w:rsid w:val="00AE73C0"/>
    <w:rsid w:val="00AE7AE4"/>
    <w:rsid w:val="00AE7B56"/>
    <w:rsid w:val="00AF0ABF"/>
    <w:rsid w:val="00AF0AFC"/>
    <w:rsid w:val="00AF0B41"/>
    <w:rsid w:val="00AF0C35"/>
    <w:rsid w:val="00AF0EF7"/>
    <w:rsid w:val="00AF12B8"/>
    <w:rsid w:val="00AF1F0E"/>
    <w:rsid w:val="00AF24E6"/>
    <w:rsid w:val="00AF338D"/>
    <w:rsid w:val="00AF3A61"/>
    <w:rsid w:val="00AF3BA8"/>
    <w:rsid w:val="00AF433E"/>
    <w:rsid w:val="00AF47BF"/>
    <w:rsid w:val="00AF4924"/>
    <w:rsid w:val="00AF4A88"/>
    <w:rsid w:val="00AF4B84"/>
    <w:rsid w:val="00AF50BB"/>
    <w:rsid w:val="00AF63F4"/>
    <w:rsid w:val="00AF6DCC"/>
    <w:rsid w:val="00AF75DE"/>
    <w:rsid w:val="00B00177"/>
    <w:rsid w:val="00B00470"/>
    <w:rsid w:val="00B00574"/>
    <w:rsid w:val="00B0060F"/>
    <w:rsid w:val="00B006FE"/>
    <w:rsid w:val="00B00E6A"/>
    <w:rsid w:val="00B00F80"/>
    <w:rsid w:val="00B01048"/>
    <w:rsid w:val="00B0148D"/>
    <w:rsid w:val="00B01D80"/>
    <w:rsid w:val="00B027CF"/>
    <w:rsid w:val="00B02D47"/>
    <w:rsid w:val="00B0306E"/>
    <w:rsid w:val="00B0381C"/>
    <w:rsid w:val="00B03DB1"/>
    <w:rsid w:val="00B03F66"/>
    <w:rsid w:val="00B04464"/>
    <w:rsid w:val="00B0455B"/>
    <w:rsid w:val="00B04BB0"/>
    <w:rsid w:val="00B05A39"/>
    <w:rsid w:val="00B05BBF"/>
    <w:rsid w:val="00B05BE3"/>
    <w:rsid w:val="00B061D3"/>
    <w:rsid w:val="00B0643D"/>
    <w:rsid w:val="00B065F7"/>
    <w:rsid w:val="00B06E00"/>
    <w:rsid w:val="00B076FD"/>
    <w:rsid w:val="00B078F7"/>
    <w:rsid w:val="00B07946"/>
    <w:rsid w:val="00B079FB"/>
    <w:rsid w:val="00B07A2B"/>
    <w:rsid w:val="00B07A64"/>
    <w:rsid w:val="00B07EB6"/>
    <w:rsid w:val="00B1033D"/>
    <w:rsid w:val="00B10434"/>
    <w:rsid w:val="00B10465"/>
    <w:rsid w:val="00B10D65"/>
    <w:rsid w:val="00B113D7"/>
    <w:rsid w:val="00B1144A"/>
    <w:rsid w:val="00B13199"/>
    <w:rsid w:val="00B1330D"/>
    <w:rsid w:val="00B1383A"/>
    <w:rsid w:val="00B13CDD"/>
    <w:rsid w:val="00B13EF3"/>
    <w:rsid w:val="00B13F33"/>
    <w:rsid w:val="00B14287"/>
    <w:rsid w:val="00B146A7"/>
    <w:rsid w:val="00B14BEA"/>
    <w:rsid w:val="00B15860"/>
    <w:rsid w:val="00B15985"/>
    <w:rsid w:val="00B15A16"/>
    <w:rsid w:val="00B15C48"/>
    <w:rsid w:val="00B16D28"/>
    <w:rsid w:val="00B16FA4"/>
    <w:rsid w:val="00B17007"/>
    <w:rsid w:val="00B173B7"/>
    <w:rsid w:val="00B174D8"/>
    <w:rsid w:val="00B177E4"/>
    <w:rsid w:val="00B17B37"/>
    <w:rsid w:val="00B17D63"/>
    <w:rsid w:val="00B17D7F"/>
    <w:rsid w:val="00B17DD1"/>
    <w:rsid w:val="00B2035B"/>
    <w:rsid w:val="00B2238F"/>
    <w:rsid w:val="00B223E9"/>
    <w:rsid w:val="00B22E08"/>
    <w:rsid w:val="00B2310D"/>
    <w:rsid w:val="00B23489"/>
    <w:rsid w:val="00B23C06"/>
    <w:rsid w:val="00B23CB7"/>
    <w:rsid w:val="00B24602"/>
    <w:rsid w:val="00B24951"/>
    <w:rsid w:val="00B24F66"/>
    <w:rsid w:val="00B2517B"/>
    <w:rsid w:val="00B257A2"/>
    <w:rsid w:val="00B25B32"/>
    <w:rsid w:val="00B25BD1"/>
    <w:rsid w:val="00B262E3"/>
    <w:rsid w:val="00B263A0"/>
    <w:rsid w:val="00B26415"/>
    <w:rsid w:val="00B266F3"/>
    <w:rsid w:val="00B26CFC"/>
    <w:rsid w:val="00B27118"/>
    <w:rsid w:val="00B274D6"/>
    <w:rsid w:val="00B276BE"/>
    <w:rsid w:val="00B27717"/>
    <w:rsid w:val="00B27764"/>
    <w:rsid w:val="00B27977"/>
    <w:rsid w:val="00B27AC9"/>
    <w:rsid w:val="00B27AFC"/>
    <w:rsid w:val="00B27BA1"/>
    <w:rsid w:val="00B27C34"/>
    <w:rsid w:val="00B27CF6"/>
    <w:rsid w:val="00B27F23"/>
    <w:rsid w:val="00B31BB7"/>
    <w:rsid w:val="00B31E67"/>
    <w:rsid w:val="00B31FD1"/>
    <w:rsid w:val="00B3228C"/>
    <w:rsid w:val="00B32F6B"/>
    <w:rsid w:val="00B33072"/>
    <w:rsid w:val="00B330E3"/>
    <w:rsid w:val="00B33ACA"/>
    <w:rsid w:val="00B33BDB"/>
    <w:rsid w:val="00B34354"/>
    <w:rsid w:val="00B346A7"/>
    <w:rsid w:val="00B34A7B"/>
    <w:rsid w:val="00B34B25"/>
    <w:rsid w:val="00B3535E"/>
    <w:rsid w:val="00B35AC0"/>
    <w:rsid w:val="00B35F30"/>
    <w:rsid w:val="00B35F33"/>
    <w:rsid w:val="00B35FE3"/>
    <w:rsid w:val="00B36189"/>
    <w:rsid w:val="00B36604"/>
    <w:rsid w:val="00B36949"/>
    <w:rsid w:val="00B3695B"/>
    <w:rsid w:val="00B36D6C"/>
    <w:rsid w:val="00B377A9"/>
    <w:rsid w:val="00B37B51"/>
    <w:rsid w:val="00B37BEA"/>
    <w:rsid w:val="00B37C0B"/>
    <w:rsid w:val="00B37EFF"/>
    <w:rsid w:val="00B401D3"/>
    <w:rsid w:val="00B40436"/>
    <w:rsid w:val="00B405A7"/>
    <w:rsid w:val="00B408A6"/>
    <w:rsid w:val="00B4102B"/>
    <w:rsid w:val="00B41621"/>
    <w:rsid w:val="00B41702"/>
    <w:rsid w:val="00B4224F"/>
    <w:rsid w:val="00B42355"/>
    <w:rsid w:val="00B4271A"/>
    <w:rsid w:val="00B42A85"/>
    <w:rsid w:val="00B42F36"/>
    <w:rsid w:val="00B43050"/>
    <w:rsid w:val="00B432D2"/>
    <w:rsid w:val="00B43388"/>
    <w:rsid w:val="00B43789"/>
    <w:rsid w:val="00B438E4"/>
    <w:rsid w:val="00B43E19"/>
    <w:rsid w:val="00B4431F"/>
    <w:rsid w:val="00B44384"/>
    <w:rsid w:val="00B444B7"/>
    <w:rsid w:val="00B44608"/>
    <w:rsid w:val="00B44ADB"/>
    <w:rsid w:val="00B44CA5"/>
    <w:rsid w:val="00B44E45"/>
    <w:rsid w:val="00B45006"/>
    <w:rsid w:val="00B4559F"/>
    <w:rsid w:val="00B459D0"/>
    <w:rsid w:val="00B45B1F"/>
    <w:rsid w:val="00B45CB8"/>
    <w:rsid w:val="00B45E6D"/>
    <w:rsid w:val="00B466E7"/>
    <w:rsid w:val="00B46D2D"/>
    <w:rsid w:val="00B46D69"/>
    <w:rsid w:val="00B46EF3"/>
    <w:rsid w:val="00B46FA6"/>
    <w:rsid w:val="00B46FC1"/>
    <w:rsid w:val="00B47155"/>
    <w:rsid w:val="00B473B4"/>
    <w:rsid w:val="00B47C53"/>
    <w:rsid w:val="00B47DB1"/>
    <w:rsid w:val="00B50AC6"/>
    <w:rsid w:val="00B50EDD"/>
    <w:rsid w:val="00B5105E"/>
    <w:rsid w:val="00B513AA"/>
    <w:rsid w:val="00B51938"/>
    <w:rsid w:val="00B51D2F"/>
    <w:rsid w:val="00B51D34"/>
    <w:rsid w:val="00B5211C"/>
    <w:rsid w:val="00B526F9"/>
    <w:rsid w:val="00B528A6"/>
    <w:rsid w:val="00B52CC7"/>
    <w:rsid w:val="00B52EFD"/>
    <w:rsid w:val="00B53D81"/>
    <w:rsid w:val="00B53EAC"/>
    <w:rsid w:val="00B54223"/>
    <w:rsid w:val="00B5423E"/>
    <w:rsid w:val="00B544BB"/>
    <w:rsid w:val="00B545FF"/>
    <w:rsid w:val="00B54631"/>
    <w:rsid w:val="00B54E3A"/>
    <w:rsid w:val="00B54F30"/>
    <w:rsid w:val="00B550E6"/>
    <w:rsid w:val="00B55167"/>
    <w:rsid w:val="00B555F8"/>
    <w:rsid w:val="00B55B8D"/>
    <w:rsid w:val="00B5602B"/>
    <w:rsid w:val="00B567D7"/>
    <w:rsid w:val="00B56AC1"/>
    <w:rsid w:val="00B56B88"/>
    <w:rsid w:val="00B570F5"/>
    <w:rsid w:val="00B57526"/>
    <w:rsid w:val="00B575C4"/>
    <w:rsid w:val="00B575F8"/>
    <w:rsid w:val="00B57664"/>
    <w:rsid w:val="00B577E9"/>
    <w:rsid w:val="00B57834"/>
    <w:rsid w:val="00B57A99"/>
    <w:rsid w:val="00B57D97"/>
    <w:rsid w:val="00B60C58"/>
    <w:rsid w:val="00B60D29"/>
    <w:rsid w:val="00B60E84"/>
    <w:rsid w:val="00B60F92"/>
    <w:rsid w:val="00B61143"/>
    <w:rsid w:val="00B6182B"/>
    <w:rsid w:val="00B61C0C"/>
    <w:rsid w:val="00B61D81"/>
    <w:rsid w:val="00B61DF8"/>
    <w:rsid w:val="00B61E3F"/>
    <w:rsid w:val="00B628B4"/>
    <w:rsid w:val="00B6371F"/>
    <w:rsid w:val="00B638BE"/>
    <w:rsid w:val="00B64832"/>
    <w:rsid w:val="00B64B99"/>
    <w:rsid w:val="00B65454"/>
    <w:rsid w:val="00B654DD"/>
    <w:rsid w:val="00B65676"/>
    <w:rsid w:val="00B65AE9"/>
    <w:rsid w:val="00B65B8E"/>
    <w:rsid w:val="00B66234"/>
    <w:rsid w:val="00B6681E"/>
    <w:rsid w:val="00B67212"/>
    <w:rsid w:val="00B67460"/>
    <w:rsid w:val="00B676DC"/>
    <w:rsid w:val="00B67BCF"/>
    <w:rsid w:val="00B67DC7"/>
    <w:rsid w:val="00B7020B"/>
    <w:rsid w:val="00B70688"/>
    <w:rsid w:val="00B706BE"/>
    <w:rsid w:val="00B711EC"/>
    <w:rsid w:val="00B71658"/>
    <w:rsid w:val="00B71DD0"/>
    <w:rsid w:val="00B7210F"/>
    <w:rsid w:val="00B72A8A"/>
    <w:rsid w:val="00B72F0A"/>
    <w:rsid w:val="00B732A7"/>
    <w:rsid w:val="00B7372A"/>
    <w:rsid w:val="00B73898"/>
    <w:rsid w:val="00B73B24"/>
    <w:rsid w:val="00B74095"/>
    <w:rsid w:val="00B743E7"/>
    <w:rsid w:val="00B743F0"/>
    <w:rsid w:val="00B7462D"/>
    <w:rsid w:val="00B746D8"/>
    <w:rsid w:val="00B755CB"/>
    <w:rsid w:val="00B7569C"/>
    <w:rsid w:val="00B76993"/>
    <w:rsid w:val="00B76A67"/>
    <w:rsid w:val="00B76A73"/>
    <w:rsid w:val="00B76F25"/>
    <w:rsid w:val="00B770D9"/>
    <w:rsid w:val="00B7793A"/>
    <w:rsid w:val="00B77BF8"/>
    <w:rsid w:val="00B77C14"/>
    <w:rsid w:val="00B8028F"/>
    <w:rsid w:val="00B80C99"/>
    <w:rsid w:val="00B80D95"/>
    <w:rsid w:val="00B80ED2"/>
    <w:rsid w:val="00B810E3"/>
    <w:rsid w:val="00B812BA"/>
    <w:rsid w:val="00B8156D"/>
    <w:rsid w:val="00B8168E"/>
    <w:rsid w:val="00B8177E"/>
    <w:rsid w:val="00B81AA1"/>
    <w:rsid w:val="00B823A4"/>
    <w:rsid w:val="00B8254A"/>
    <w:rsid w:val="00B826E5"/>
    <w:rsid w:val="00B82DE3"/>
    <w:rsid w:val="00B82E91"/>
    <w:rsid w:val="00B83ADD"/>
    <w:rsid w:val="00B83C18"/>
    <w:rsid w:val="00B84674"/>
    <w:rsid w:val="00B849FC"/>
    <w:rsid w:val="00B84DBF"/>
    <w:rsid w:val="00B8524D"/>
    <w:rsid w:val="00B85634"/>
    <w:rsid w:val="00B85ED5"/>
    <w:rsid w:val="00B85FE8"/>
    <w:rsid w:val="00B86A10"/>
    <w:rsid w:val="00B86BAD"/>
    <w:rsid w:val="00B86BB5"/>
    <w:rsid w:val="00B8719D"/>
    <w:rsid w:val="00B872A9"/>
    <w:rsid w:val="00B87341"/>
    <w:rsid w:val="00B873CB"/>
    <w:rsid w:val="00B879E0"/>
    <w:rsid w:val="00B87BC1"/>
    <w:rsid w:val="00B87F86"/>
    <w:rsid w:val="00B90030"/>
    <w:rsid w:val="00B9016C"/>
    <w:rsid w:val="00B9023B"/>
    <w:rsid w:val="00B906E7"/>
    <w:rsid w:val="00B90A4D"/>
    <w:rsid w:val="00B90E78"/>
    <w:rsid w:val="00B914E8"/>
    <w:rsid w:val="00B91525"/>
    <w:rsid w:val="00B91573"/>
    <w:rsid w:val="00B9176F"/>
    <w:rsid w:val="00B91F80"/>
    <w:rsid w:val="00B9210B"/>
    <w:rsid w:val="00B92135"/>
    <w:rsid w:val="00B928AA"/>
    <w:rsid w:val="00B92AAE"/>
    <w:rsid w:val="00B92B72"/>
    <w:rsid w:val="00B93119"/>
    <w:rsid w:val="00B9347F"/>
    <w:rsid w:val="00B9389F"/>
    <w:rsid w:val="00B93E92"/>
    <w:rsid w:val="00B93F45"/>
    <w:rsid w:val="00B94383"/>
    <w:rsid w:val="00B94670"/>
    <w:rsid w:val="00B94A71"/>
    <w:rsid w:val="00B94D69"/>
    <w:rsid w:val="00B95050"/>
    <w:rsid w:val="00B952E1"/>
    <w:rsid w:val="00B9534F"/>
    <w:rsid w:val="00B95588"/>
    <w:rsid w:val="00B95709"/>
    <w:rsid w:val="00B96034"/>
    <w:rsid w:val="00B9622B"/>
    <w:rsid w:val="00B96428"/>
    <w:rsid w:val="00B968DD"/>
    <w:rsid w:val="00B96F13"/>
    <w:rsid w:val="00B97172"/>
    <w:rsid w:val="00B97719"/>
    <w:rsid w:val="00B97839"/>
    <w:rsid w:val="00B97FEE"/>
    <w:rsid w:val="00BA0204"/>
    <w:rsid w:val="00BA0497"/>
    <w:rsid w:val="00BA059A"/>
    <w:rsid w:val="00BA05A5"/>
    <w:rsid w:val="00BA06AF"/>
    <w:rsid w:val="00BA07CF"/>
    <w:rsid w:val="00BA0F7D"/>
    <w:rsid w:val="00BA17F6"/>
    <w:rsid w:val="00BA21FE"/>
    <w:rsid w:val="00BA24E2"/>
    <w:rsid w:val="00BA2581"/>
    <w:rsid w:val="00BA26EB"/>
    <w:rsid w:val="00BA3336"/>
    <w:rsid w:val="00BA3585"/>
    <w:rsid w:val="00BA3753"/>
    <w:rsid w:val="00BA3E12"/>
    <w:rsid w:val="00BA486E"/>
    <w:rsid w:val="00BA4B58"/>
    <w:rsid w:val="00BA4BC2"/>
    <w:rsid w:val="00BA4D74"/>
    <w:rsid w:val="00BA4FAF"/>
    <w:rsid w:val="00BA5316"/>
    <w:rsid w:val="00BA5452"/>
    <w:rsid w:val="00BA55DE"/>
    <w:rsid w:val="00BA5725"/>
    <w:rsid w:val="00BA57BA"/>
    <w:rsid w:val="00BA5A79"/>
    <w:rsid w:val="00BA5BF8"/>
    <w:rsid w:val="00BA605E"/>
    <w:rsid w:val="00BA6852"/>
    <w:rsid w:val="00BA6C89"/>
    <w:rsid w:val="00BA6F31"/>
    <w:rsid w:val="00BA72E3"/>
    <w:rsid w:val="00BA7592"/>
    <w:rsid w:val="00BA779D"/>
    <w:rsid w:val="00BA7BD9"/>
    <w:rsid w:val="00BB0220"/>
    <w:rsid w:val="00BB0577"/>
    <w:rsid w:val="00BB05B8"/>
    <w:rsid w:val="00BB1098"/>
    <w:rsid w:val="00BB115F"/>
    <w:rsid w:val="00BB14D6"/>
    <w:rsid w:val="00BB1D14"/>
    <w:rsid w:val="00BB1D94"/>
    <w:rsid w:val="00BB1E83"/>
    <w:rsid w:val="00BB215F"/>
    <w:rsid w:val="00BB2374"/>
    <w:rsid w:val="00BB2531"/>
    <w:rsid w:val="00BB281A"/>
    <w:rsid w:val="00BB33BB"/>
    <w:rsid w:val="00BB3876"/>
    <w:rsid w:val="00BB3BAC"/>
    <w:rsid w:val="00BB4358"/>
    <w:rsid w:val="00BB462F"/>
    <w:rsid w:val="00BB4B9A"/>
    <w:rsid w:val="00BB52B2"/>
    <w:rsid w:val="00BB5524"/>
    <w:rsid w:val="00BB567B"/>
    <w:rsid w:val="00BB5EE8"/>
    <w:rsid w:val="00BB60C3"/>
    <w:rsid w:val="00BB6198"/>
    <w:rsid w:val="00BB65FE"/>
    <w:rsid w:val="00BB66BB"/>
    <w:rsid w:val="00BB68F9"/>
    <w:rsid w:val="00BB6ADB"/>
    <w:rsid w:val="00BB6F0D"/>
    <w:rsid w:val="00BB6F88"/>
    <w:rsid w:val="00BB70B0"/>
    <w:rsid w:val="00BB7188"/>
    <w:rsid w:val="00BB7615"/>
    <w:rsid w:val="00BB7E4C"/>
    <w:rsid w:val="00BB7FA0"/>
    <w:rsid w:val="00BB7FB3"/>
    <w:rsid w:val="00BC0089"/>
    <w:rsid w:val="00BC04F7"/>
    <w:rsid w:val="00BC0588"/>
    <w:rsid w:val="00BC0DEA"/>
    <w:rsid w:val="00BC0E73"/>
    <w:rsid w:val="00BC127B"/>
    <w:rsid w:val="00BC169E"/>
    <w:rsid w:val="00BC1759"/>
    <w:rsid w:val="00BC180F"/>
    <w:rsid w:val="00BC1903"/>
    <w:rsid w:val="00BC1984"/>
    <w:rsid w:val="00BC1ECC"/>
    <w:rsid w:val="00BC2084"/>
    <w:rsid w:val="00BC2227"/>
    <w:rsid w:val="00BC22BF"/>
    <w:rsid w:val="00BC2363"/>
    <w:rsid w:val="00BC2BB0"/>
    <w:rsid w:val="00BC30F1"/>
    <w:rsid w:val="00BC391F"/>
    <w:rsid w:val="00BC3A66"/>
    <w:rsid w:val="00BC3DBE"/>
    <w:rsid w:val="00BC3E5D"/>
    <w:rsid w:val="00BC3F9B"/>
    <w:rsid w:val="00BC4388"/>
    <w:rsid w:val="00BC438E"/>
    <w:rsid w:val="00BC4AE2"/>
    <w:rsid w:val="00BC4D2E"/>
    <w:rsid w:val="00BC50B2"/>
    <w:rsid w:val="00BC5616"/>
    <w:rsid w:val="00BC612E"/>
    <w:rsid w:val="00BC6765"/>
    <w:rsid w:val="00BC690A"/>
    <w:rsid w:val="00BC6F28"/>
    <w:rsid w:val="00BC759B"/>
    <w:rsid w:val="00BC75AA"/>
    <w:rsid w:val="00BC75DA"/>
    <w:rsid w:val="00BC7944"/>
    <w:rsid w:val="00BC7F55"/>
    <w:rsid w:val="00BD0206"/>
    <w:rsid w:val="00BD03D0"/>
    <w:rsid w:val="00BD041F"/>
    <w:rsid w:val="00BD04D2"/>
    <w:rsid w:val="00BD0583"/>
    <w:rsid w:val="00BD0B0C"/>
    <w:rsid w:val="00BD0E4D"/>
    <w:rsid w:val="00BD0F7B"/>
    <w:rsid w:val="00BD2B2F"/>
    <w:rsid w:val="00BD2EA8"/>
    <w:rsid w:val="00BD3337"/>
    <w:rsid w:val="00BD383F"/>
    <w:rsid w:val="00BD507F"/>
    <w:rsid w:val="00BD532C"/>
    <w:rsid w:val="00BD6869"/>
    <w:rsid w:val="00BD6AA6"/>
    <w:rsid w:val="00BD6CBE"/>
    <w:rsid w:val="00BD6CE0"/>
    <w:rsid w:val="00BD6F89"/>
    <w:rsid w:val="00BD74FB"/>
    <w:rsid w:val="00BD7545"/>
    <w:rsid w:val="00BD7752"/>
    <w:rsid w:val="00BD7847"/>
    <w:rsid w:val="00BD7CA8"/>
    <w:rsid w:val="00BE20AF"/>
    <w:rsid w:val="00BE2278"/>
    <w:rsid w:val="00BE23ED"/>
    <w:rsid w:val="00BE24E6"/>
    <w:rsid w:val="00BE28F3"/>
    <w:rsid w:val="00BE2B89"/>
    <w:rsid w:val="00BE2C68"/>
    <w:rsid w:val="00BE2EBB"/>
    <w:rsid w:val="00BE385B"/>
    <w:rsid w:val="00BE3C5B"/>
    <w:rsid w:val="00BE3F68"/>
    <w:rsid w:val="00BE4521"/>
    <w:rsid w:val="00BE507C"/>
    <w:rsid w:val="00BE51B6"/>
    <w:rsid w:val="00BE539C"/>
    <w:rsid w:val="00BE54C2"/>
    <w:rsid w:val="00BE60A9"/>
    <w:rsid w:val="00BE6306"/>
    <w:rsid w:val="00BE67B3"/>
    <w:rsid w:val="00BE6FDF"/>
    <w:rsid w:val="00BE72CC"/>
    <w:rsid w:val="00BE7413"/>
    <w:rsid w:val="00BE74C5"/>
    <w:rsid w:val="00BE779A"/>
    <w:rsid w:val="00BE7B98"/>
    <w:rsid w:val="00BF05A1"/>
    <w:rsid w:val="00BF07A5"/>
    <w:rsid w:val="00BF08E4"/>
    <w:rsid w:val="00BF0A25"/>
    <w:rsid w:val="00BF11B2"/>
    <w:rsid w:val="00BF1245"/>
    <w:rsid w:val="00BF135B"/>
    <w:rsid w:val="00BF13B0"/>
    <w:rsid w:val="00BF1A5A"/>
    <w:rsid w:val="00BF1B21"/>
    <w:rsid w:val="00BF28BB"/>
    <w:rsid w:val="00BF2993"/>
    <w:rsid w:val="00BF2EAF"/>
    <w:rsid w:val="00BF2EB1"/>
    <w:rsid w:val="00BF2FD3"/>
    <w:rsid w:val="00BF3539"/>
    <w:rsid w:val="00BF399C"/>
    <w:rsid w:val="00BF3DE8"/>
    <w:rsid w:val="00BF3E95"/>
    <w:rsid w:val="00BF4013"/>
    <w:rsid w:val="00BF543E"/>
    <w:rsid w:val="00BF5961"/>
    <w:rsid w:val="00BF5E07"/>
    <w:rsid w:val="00BF5E6C"/>
    <w:rsid w:val="00BF5E88"/>
    <w:rsid w:val="00BF617D"/>
    <w:rsid w:val="00BF672E"/>
    <w:rsid w:val="00BF6D91"/>
    <w:rsid w:val="00BF7AAB"/>
    <w:rsid w:val="00BF7FA4"/>
    <w:rsid w:val="00C0016E"/>
    <w:rsid w:val="00C00756"/>
    <w:rsid w:val="00C00F13"/>
    <w:rsid w:val="00C0144C"/>
    <w:rsid w:val="00C016E7"/>
    <w:rsid w:val="00C01720"/>
    <w:rsid w:val="00C01AF9"/>
    <w:rsid w:val="00C02416"/>
    <w:rsid w:val="00C02D07"/>
    <w:rsid w:val="00C02D66"/>
    <w:rsid w:val="00C03079"/>
    <w:rsid w:val="00C030E0"/>
    <w:rsid w:val="00C032B3"/>
    <w:rsid w:val="00C033C1"/>
    <w:rsid w:val="00C03944"/>
    <w:rsid w:val="00C041C4"/>
    <w:rsid w:val="00C04222"/>
    <w:rsid w:val="00C04341"/>
    <w:rsid w:val="00C04C25"/>
    <w:rsid w:val="00C04CC1"/>
    <w:rsid w:val="00C04CCF"/>
    <w:rsid w:val="00C04EE1"/>
    <w:rsid w:val="00C04FFF"/>
    <w:rsid w:val="00C0543D"/>
    <w:rsid w:val="00C0547C"/>
    <w:rsid w:val="00C05EFB"/>
    <w:rsid w:val="00C05F79"/>
    <w:rsid w:val="00C0726C"/>
    <w:rsid w:val="00C076EF"/>
    <w:rsid w:val="00C07B09"/>
    <w:rsid w:val="00C07EF3"/>
    <w:rsid w:val="00C07F6E"/>
    <w:rsid w:val="00C1009E"/>
    <w:rsid w:val="00C10C1E"/>
    <w:rsid w:val="00C10C31"/>
    <w:rsid w:val="00C10D10"/>
    <w:rsid w:val="00C10E0E"/>
    <w:rsid w:val="00C113AD"/>
    <w:rsid w:val="00C114BC"/>
    <w:rsid w:val="00C114D6"/>
    <w:rsid w:val="00C1159C"/>
    <w:rsid w:val="00C11643"/>
    <w:rsid w:val="00C12560"/>
    <w:rsid w:val="00C12631"/>
    <w:rsid w:val="00C12919"/>
    <w:rsid w:val="00C129B6"/>
    <w:rsid w:val="00C12F49"/>
    <w:rsid w:val="00C131C7"/>
    <w:rsid w:val="00C13511"/>
    <w:rsid w:val="00C1390E"/>
    <w:rsid w:val="00C13974"/>
    <w:rsid w:val="00C13CBA"/>
    <w:rsid w:val="00C140B6"/>
    <w:rsid w:val="00C146E1"/>
    <w:rsid w:val="00C14748"/>
    <w:rsid w:val="00C147C7"/>
    <w:rsid w:val="00C1481A"/>
    <w:rsid w:val="00C148AE"/>
    <w:rsid w:val="00C14A66"/>
    <w:rsid w:val="00C14A9A"/>
    <w:rsid w:val="00C14D9E"/>
    <w:rsid w:val="00C14E64"/>
    <w:rsid w:val="00C1520D"/>
    <w:rsid w:val="00C15F9F"/>
    <w:rsid w:val="00C165C4"/>
    <w:rsid w:val="00C16B5C"/>
    <w:rsid w:val="00C17C72"/>
    <w:rsid w:val="00C20148"/>
    <w:rsid w:val="00C20218"/>
    <w:rsid w:val="00C20827"/>
    <w:rsid w:val="00C20B4F"/>
    <w:rsid w:val="00C20C28"/>
    <w:rsid w:val="00C20FF4"/>
    <w:rsid w:val="00C21DB9"/>
    <w:rsid w:val="00C21EA1"/>
    <w:rsid w:val="00C22205"/>
    <w:rsid w:val="00C22457"/>
    <w:rsid w:val="00C22AA8"/>
    <w:rsid w:val="00C22B8F"/>
    <w:rsid w:val="00C22D05"/>
    <w:rsid w:val="00C22F4D"/>
    <w:rsid w:val="00C2311B"/>
    <w:rsid w:val="00C2346B"/>
    <w:rsid w:val="00C234C2"/>
    <w:rsid w:val="00C235DC"/>
    <w:rsid w:val="00C236E0"/>
    <w:rsid w:val="00C237D1"/>
    <w:rsid w:val="00C23925"/>
    <w:rsid w:val="00C23A17"/>
    <w:rsid w:val="00C23B95"/>
    <w:rsid w:val="00C23C00"/>
    <w:rsid w:val="00C23CD6"/>
    <w:rsid w:val="00C240A1"/>
    <w:rsid w:val="00C24633"/>
    <w:rsid w:val="00C249F0"/>
    <w:rsid w:val="00C24AFF"/>
    <w:rsid w:val="00C24F6C"/>
    <w:rsid w:val="00C24FB6"/>
    <w:rsid w:val="00C24FF1"/>
    <w:rsid w:val="00C250C8"/>
    <w:rsid w:val="00C253CF"/>
    <w:rsid w:val="00C258DB"/>
    <w:rsid w:val="00C25974"/>
    <w:rsid w:val="00C25EDE"/>
    <w:rsid w:val="00C26879"/>
    <w:rsid w:val="00C269FC"/>
    <w:rsid w:val="00C26BE7"/>
    <w:rsid w:val="00C2743B"/>
    <w:rsid w:val="00C27466"/>
    <w:rsid w:val="00C278C2"/>
    <w:rsid w:val="00C27DD9"/>
    <w:rsid w:val="00C27E4F"/>
    <w:rsid w:val="00C3099D"/>
    <w:rsid w:val="00C31032"/>
    <w:rsid w:val="00C31085"/>
    <w:rsid w:val="00C312CC"/>
    <w:rsid w:val="00C31437"/>
    <w:rsid w:val="00C3189E"/>
    <w:rsid w:val="00C31948"/>
    <w:rsid w:val="00C31B84"/>
    <w:rsid w:val="00C31B91"/>
    <w:rsid w:val="00C31B92"/>
    <w:rsid w:val="00C3280F"/>
    <w:rsid w:val="00C33773"/>
    <w:rsid w:val="00C3392C"/>
    <w:rsid w:val="00C340E7"/>
    <w:rsid w:val="00C34138"/>
    <w:rsid w:val="00C34250"/>
    <w:rsid w:val="00C34524"/>
    <w:rsid w:val="00C34585"/>
    <w:rsid w:val="00C34650"/>
    <w:rsid w:val="00C34759"/>
    <w:rsid w:val="00C34B6C"/>
    <w:rsid w:val="00C34B96"/>
    <w:rsid w:val="00C34E09"/>
    <w:rsid w:val="00C35356"/>
    <w:rsid w:val="00C354D0"/>
    <w:rsid w:val="00C35561"/>
    <w:rsid w:val="00C3571F"/>
    <w:rsid w:val="00C36436"/>
    <w:rsid w:val="00C36518"/>
    <w:rsid w:val="00C36651"/>
    <w:rsid w:val="00C36DFB"/>
    <w:rsid w:val="00C374E3"/>
    <w:rsid w:val="00C379BF"/>
    <w:rsid w:val="00C37F69"/>
    <w:rsid w:val="00C40387"/>
    <w:rsid w:val="00C40CCF"/>
    <w:rsid w:val="00C415CB"/>
    <w:rsid w:val="00C4234C"/>
    <w:rsid w:val="00C42660"/>
    <w:rsid w:val="00C426AE"/>
    <w:rsid w:val="00C42835"/>
    <w:rsid w:val="00C429F7"/>
    <w:rsid w:val="00C42C85"/>
    <w:rsid w:val="00C42DFA"/>
    <w:rsid w:val="00C42F07"/>
    <w:rsid w:val="00C42F7A"/>
    <w:rsid w:val="00C42F89"/>
    <w:rsid w:val="00C43539"/>
    <w:rsid w:val="00C43718"/>
    <w:rsid w:val="00C439FD"/>
    <w:rsid w:val="00C43D1C"/>
    <w:rsid w:val="00C44415"/>
    <w:rsid w:val="00C4477E"/>
    <w:rsid w:val="00C4491F"/>
    <w:rsid w:val="00C44938"/>
    <w:rsid w:val="00C44A5E"/>
    <w:rsid w:val="00C44EAB"/>
    <w:rsid w:val="00C459D0"/>
    <w:rsid w:val="00C45F91"/>
    <w:rsid w:val="00C4638B"/>
    <w:rsid w:val="00C46AD1"/>
    <w:rsid w:val="00C46CBE"/>
    <w:rsid w:val="00C46E8F"/>
    <w:rsid w:val="00C46EB2"/>
    <w:rsid w:val="00C47926"/>
    <w:rsid w:val="00C47987"/>
    <w:rsid w:val="00C479E9"/>
    <w:rsid w:val="00C50837"/>
    <w:rsid w:val="00C50863"/>
    <w:rsid w:val="00C508DA"/>
    <w:rsid w:val="00C50FBC"/>
    <w:rsid w:val="00C5109A"/>
    <w:rsid w:val="00C510CC"/>
    <w:rsid w:val="00C51285"/>
    <w:rsid w:val="00C521AB"/>
    <w:rsid w:val="00C521D0"/>
    <w:rsid w:val="00C5337C"/>
    <w:rsid w:val="00C5343A"/>
    <w:rsid w:val="00C53456"/>
    <w:rsid w:val="00C535CA"/>
    <w:rsid w:val="00C5390C"/>
    <w:rsid w:val="00C53CA8"/>
    <w:rsid w:val="00C544F7"/>
    <w:rsid w:val="00C5466D"/>
    <w:rsid w:val="00C5498A"/>
    <w:rsid w:val="00C5498E"/>
    <w:rsid w:val="00C54A87"/>
    <w:rsid w:val="00C55518"/>
    <w:rsid w:val="00C558A7"/>
    <w:rsid w:val="00C5665E"/>
    <w:rsid w:val="00C56C92"/>
    <w:rsid w:val="00C56C9E"/>
    <w:rsid w:val="00C56CC9"/>
    <w:rsid w:val="00C56F40"/>
    <w:rsid w:val="00C5716A"/>
    <w:rsid w:val="00C57509"/>
    <w:rsid w:val="00C57545"/>
    <w:rsid w:val="00C576F6"/>
    <w:rsid w:val="00C57F64"/>
    <w:rsid w:val="00C602FC"/>
    <w:rsid w:val="00C60A37"/>
    <w:rsid w:val="00C60E87"/>
    <w:rsid w:val="00C610F0"/>
    <w:rsid w:val="00C614B5"/>
    <w:rsid w:val="00C61630"/>
    <w:rsid w:val="00C61B14"/>
    <w:rsid w:val="00C624A0"/>
    <w:rsid w:val="00C62A8C"/>
    <w:rsid w:val="00C62AA8"/>
    <w:rsid w:val="00C62D4F"/>
    <w:rsid w:val="00C62ED3"/>
    <w:rsid w:val="00C63168"/>
    <w:rsid w:val="00C63358"/>
    <w:rsid w:val="00C633C8"/>
    <w:rsid w:val="00C633DD"/>
    <w:rsid w:val="00C6340C"/>
    <w:rsid w:val="00C638B8"/>
    <w:rsid w:val="00C64534"/>
    <w:rsid w:val="00C646F1"/>
    <w:rsid w:val="00C64E91"/>
    <w:rsid w:val="00C658EF"/>
    <w:rsid w:val="00C65C95"/>
    <w:rsid w:val="00C660A8"/>
    <w:rsid w:val="00C660BA"/>
    <w:rsid w:val="00C66491"/>
    <w:rsid w:val="00C66B11"/>
    <w:rsid w:val="00C67073"/>
    <w:rsid w:val="00C6745B"/>
    <w:rsid w:val="00C679A2"/>
    <w:rsid w:val="00C7001C"/>
    <w:rsid w:val="00C7004C"/>
    <w:rsid w:val="00C702E5"/>
    <w:rsid w:val="00C705B2"/>
    <w:rsid w:val="00C706D0"/>
    <w:rsid w:val="00C707E7"/>
    <w:rsid w:val="00C70CE7"/>
    <w:rsid w:val="00C70E63"/>
    <w:rsid w:val="00C70F00"/>
    <w:rsid w:val="00C7101F"/>
    <w:rsid w:val="00C71089"/>
    <w:rsid w:val="00C715D6"/>
    <w:rsid w:val="00C71A0F"/>
    <w:rsid w:val="00C71BD5"/>
    <w:rsid w:val="00C71BE3"/>
    <w:rsid w:val="00C71DDD"/>
    <w:rsid w:val="00C71F1A"/>
    <w:rsid w:val="00C73118"/>
    <w:rsid w:val="00C73538"/>
    <w:rsid w:val="00C735A4"/>
    <w:rsid w:val="00C73A60"/>
    <w:rsid w:val="00C73D79"/>
    <w:rsid w:val="00C73EF2"/>
    <w:rsid w:val="00C73F1D"/>
    <w:rsid w:val="00C73F7D"/>
    <w:rsid w:val="00C741ED"/>
    <w:rsid w:val="00C746D8"/>
    <w:rsid w:val="00C74A0D"/>
    <w:rsid w:val="00C74EF5"/>
    <w:rsid w:val="00C7510D"/>
    <w:rsid w:val="00C7570C"/>
    <w:rsid w:val="00C757AA"/>
    <w:rsid w:val="00C762B6"/>
    <w:rsid w:val="00C76681"/>
    <w:rsid w:val="00C76717"/>
    <w:rsid w:val="00C767EC"/>
    <w:rsid w:val="00C76961"/>
    <w:rsid w:val="00C7703E"/>
    <w:rsid w:val="00C770FF"/>
    <w:rsid w:val="00C77126"/>
    <w:rsid w:val="00C77230"/>
    <w:rsid w:val="00C77393"/>
    <w:rsid w:val="00C773B6"/>
    <w:rsid w:val="00C77518"/>
    <w:rsid w:val="00C777EC"/>
    <w:rsid w:val="00C779F9"/>
    <w:rsid w:val="00C80138"/>
    <w:rsid w:val="00C805E4"/>
    <w:rsid w:val="00C80874"/>
    <w:rsid w:val="00C80988"/>
    <w:rsid w:val="00C81211"/>
    <w:rsid w:val="00C8135D"/>
    <w:rsid w:val="00C8170B"/>
    <w:rsid w:val="00C817BA"/>
    <w:rsid w:val="00C8191F"/>
    <w:rsid w:val="00C81EB4"/>
    <w:rsid w:val="00C82F34"/>
    <w:rsid w:val="00C8304E"/>
    <w:rsid w:val="00C831B1"/>
    <w:rsid w:val="00C83748"/>
    <w:rsid w:val="00C84333"/>
    <w:rsid w:val="00C84604"/>
    <w:rsid w:val="00C8514B"/>
    <w:rsid w:val="00C855F5"/>
    <w:rsid w:val="00C8585C"/>
    <w:rsid w:val="00C85860"/>
    <w:rsid w:val="00C85BEA"/>
    <w:rsid w:val="00C85C21"/>
    <w:rsid w:val="00C85DB2"/>
    <w:rsid w:val="00C85FE1"/>
    <w:rsid w:val="00C86206"/>
    <w:rsid w:val="00C86512"/>
    <w:rsid w:val="00C86FF3"/>
    <w:rsid w:val="00C87763"/>
    <w:rsid w:val="00C87F31"/>
    <w:rsid w:val="00C90037"/>
    <w:rsid w:val="00C900B5"/>
    <w:rsid w:val="00C90864"/>
    <w:rsid w:val="00C908B1"/>
    <w:rsid w:val="00C9187A"/>
    <w:rsid w:val="00C91C70"/>
    <w:rsid w:val="00C91DB1"/>
    <w:rsid w:val="00C9258D"/>
    <w:rsid w:val="00C92F2A"/>
    <w:rsid w:val="00C934A4"/>
    <w:rsid w:val="00C93B61"/>
    <w:rsid w:val="00C93E1B"/>
    <w:rsid w:val="00C93F17"/>
    <w:rsid w:val="00C9443C"/>
    <w:rsid w:val="00C9484A"/>
    <w:rsid w:val="00C948CE"/>
    <w:rsid w:val="00C94C38"/>
    <w:rsid w:val="00C94E32"/>
    <w:rsid w:val="00C9566F"/>
    <w:rsid w:val="00C95754"/>
    <w:rsid w:val="00C9595B"/>
    <w:rsid w:val="00C96049"/>
    <w:rsid w:val="00C961CF"/>
    <w:rsid w:val="00C964A8"/>
    <w:rsid w:val="00C9671A"/>
    <w:rsid w:val="00C96B6E"/>
    <w:rsid w:val="00C96E4C"/>
    <w:rsid w:val="00C9704A"/>
    <w:rsid w:val="00C97342"/>
    <w:rsid w:val="00C97B2A"/>
    <w:rsid w:val="00CA0124"/>
    <w:rsid w:val="00CA06C8"/>
    <w:rsid w:val="00CA0806"/>
    <w:rsid w:val="00CA086C"/>
    <w:rsid w:val="00CA091D"/>
    <w:rsid w:val="00CA0B16"/>
    <w:rsid w:val="00CA1326"/>
    <w:rsid w:val="00CA1347"/>
    <w:rsid w:val="00CA189D"/>
    <w:rsid w:val="00CA1D25"/>
    <w:rsid w:val="00CA1F0C"/>
    <w:rsid w:val="00CA20F5"/>
    <w:rsid w:val="00CA2346"/>
    <w:rsid w:val="00CA2462"/>
    <w:rsid w:val="00CA2528"/>
    <w:rsid w:val="00CA26F4"/>
    <w:rsid w:val="00CA2A9A"/>
    <w:rsid w:val="00CA2CED"/>
    <w:rsid w:val="00CA308E"/>
    <w:rsid w:val="00CA3618"/>
    <w:rsid w:val="00CA385C"/>
    <w:rsid w:val="00CA38A4"/>
    <w:rsid w:val="00CA3C9B"/>
    <w:rsid w:val="00CA3CE3"/>
    <w:rsid w:val="00CA44ED"/>
    <w:rsid w:val="00CA46EA"/>
    <w:rsid w:val="00CA4B78"/>
    <w:rsid w:val="00CA4CDB"/>
    <w:rsid w:val="00CA53E9"/>
    <w:rsid w:val="00CA5485"/>
    <w:rsid w:val="00CA5886"/>
    <w:rsid w:val="00CA5A96"/>
    <w:rsid w:val="00CA5D30"/>
    <w:rsid w:val="00CA5EFE"/>
    <w:rsid w:val="00CA613E"/>
    <w:rsid w:val="00CA6495"/>
    <w:rsid w:val="00CA6A35"/>
    <w:rsid w:val="00CA731F"/>
    <w:rsid w:val="00CA74EA"/>
    <w:rsid w:val="00CA7873"/>
    <w:rsid w:val="00CB077C"/>
    <w:rsid w:val="00CB0841"/>
    <w:rsid w:val="00CB0BEE"/>
    <w:rsid w:val="00CB0C68"/>
    <w:rsid w:val="00CB1186"/>
    <w:rsid w:val="00CB1630"/>
    <w:rsid w:val="00CB1880"/>
    <w:rsid w:val="00CB1B61"/>
    <w:rsid w:val="00CB1ED6"/>
    <w:rsid w:val="00CB2432"/>
    <w:rsid w:val="00CB2644"/>
    <w:rsid w:val="00CB2701"/>
    <w:rsid w:val="00CB27D5"/>
    <w:rsid w:val="00CB28AC"/>
    <w:rsid w:val="00CB294F"/>
    <w:rsid w:val="00CB2D9D"/>
    <w:rsid w:val="00CB2EEF"/>
    <w:rsid w:val="00CB343F"/>
    <w:rsid w:val="00CB3463"/>
    <w:rsid w:val="00CB3AEA"/>
    <w:rsid w:val="00CB3BFD"/>
    <w:rsid w:val="00CB3C1E"/>
    <w:rsid w:val="00CB4405"/>
    <w:rsid w:val="00CB48A3"/>
    <w:rsid w:val="00CB4DA2"/>
    <w:rsid w:val="00CB4E08"/>
    <w:rsid w:val="00CB4E49"/>
    <w:rsid w:val="00CB4E78"/>
    <w:rsid w:val="00CB5665"/>
    <w:rsid w:val="00CB5692"/>
    <w:rsid w:val="00CB56CA"/>
    <w:rsid w:val="00CB57D2"/>
    <w:rsid w:val="00CB5801"/>
    <w:rsid w:val="00CB5B1C"/>
    <w:rsid w:val="00CB62D3"/>
    <w:rsid w:val="00CB7147"/>
    <w:rsid w:val="00CB736A"/>
    <w:rsid w:val="00CB76BB"/>
    <w:rsid w:val="00CB76D9"/>
    <w:rsid w:val="00CB7A81"/>
    <w:rsid w:val="00CB7DB1"/>
    <w:rsid w:val="00CC04EF"/>
    <w:rsid w:val="00CC0D87"/>
    <w:rsid w:val="00CC0E54"/>
    <w:rsid w:val="00CC1586"/>
    <w:rsid w:val="00CC1982"/>
    <w:rsid w:val="00CC1C8A"/>
    <w:rsid w:val="00CC1D5C"/>
    <w:rsid w:val="00CC23A9"/>
    <w:rsid w:val="00CC23F5"/>
    <w:rsid w:val="00CC28E7"/>
    <w:rsid w:val="00CC34E9"/>
    <w:rsid w:val="00CC356F"/>
    <w:rsid w:val="00CC3B92"/>
    <w:rsid w:val="00CC3CE6"/>
    <w:rsid w:val="00CC491D"/>
    <w:rsid w:val="00CC4FB8"/>
    <w:rsid w:val="00CC518A"/>
    <w:rsid w:val="00CC51B6"/>
    <w:rsid w:val="00CC582E"/>
    <w:rsid w:val="00CC5880"/>
    <w:rsid w:val="00CC5A5F"/>
    <w:rsid w:val="00CC6559"/>
    <w:rsid w:val="00CC6573"/>
    <w:rsid w:val="00CC68ED"/>
    <w:rsid w:val="00CC6E58"/>
    <w:rsid w:val="00CC7360"/>
    <w:rsid w:val="00CC7434"/>
    <w:rsid w:val="00CC792D"/>
    <w:rsid w:val="00CD0765"/>
    <w:rsid w:val="00CD0C9E"/>
    <w:rsid w:val="00CD1708"/>
    <w:rsid w:val="00CD199C"/>
    <w:rsid w:val="00CD1A8D"/>
    <w:rsid w:val="00CD1B31"/>
    <w:rsid w:val="00CD1C2E"/>
    <w:rsid w:val="00CD1CE4"/>
    <w:rsid w:val="00CD25D3"/>
    <w:rsid w:val="00CD2802"/>
    <w:rsid w:val="00CD283C"/>
    <w:rsid w:val="00CD29B6"/>
    <w:rsid w:val="00CD2CBF"/>
    <w:rsid w:val="00CD2DF4"/>
    <w:rsid w:val="00CD34F7"/>
    <w:rsid w:val="00CD380A"/>
    <w:rsid w:val="00CD3995"/>
    <w:rsid w:val="00CD3B43"/>
    <w:rsid w:val="00CD3CF4"/>
    <w:rsid w:val="00CD41BC"/>
    <w:rsid w:val="00CD4C58"/>
    <w:rsid w:val="00CD4CC6"/>
    <w:rsid w:val="00CD4DC5"/>
    <w:rsid w:val="00CD5836"/>
    <w:rsid w:val="00CD5936"/>
    <w:rsid w:val="00CD5C2A"/>
    <w:rsid w:val="00CD60EB"/>
    <w:rsid w:val="00CD6412"/>
    <w:rsid w:val="00CD7219"/>
    <w:rsid w:val="00CD75E6"/>
    <w:rsid w:val="00CD7F4B"/>
    <w:rsid w:val="00CE0306"/>
    <w:rsid w:val="00CE044E"/>
    <w:rsid w:val="00CE05CE"/>
    <w:rsid w:val="00CE1407"/>
    <w:rsid w:val="00CE1B99"/>
    <w:rsid w:val="00CE1E49"/>
    <w:rsid w:val="00CE2495"/>
    <w:rsid w:val="00CE28A4"/>
    <w:rsid w:val="00CE2A4E"/>
    <w:rsid w:val="00CE2C0B"/>
    <w:rsid w:val="00CE2CA0"/>
    <w:rsid w:val="00CE2D02"/>
    <w:rsid w:val="00CE2FB6"/>
    <w:rsid w:val="00CE3051"/>
    <w:rsid w:val="00CE3140"/>
    <w:rsid w:val="00CE315A"/>
    <w:rsid w:val="00CE341B"/>
    <w:rsid w:val="00CE34C5"/>
    <w:rsid w:val="00CE37A1"/>
    <w:rsid w:val="00CE3B88"/>
    <w:rsid w:val="00CE4E11"/>
    <w:rsid w:val="00CE4FC7"/>
    <w:rsid w:val="00CE5092"/>
    <w:rsid w:val="00CE546E"/>
    <w:rsid w:val="00CE5815"/>
    <w:rsid w:val="00CE594F"/>
    <w:rsid w:val="00CE5FDD"/>
    <w:rsid w:val="00CE626C"/>
    <w:rsid w:val="00CE62BB"/>
    <w:rsid w:val="00CE6357"/>
    <w:rsid w:val="00CE63AC"/>
    <w:rsid w:val="00CE6842"/>
    <w:rsid w:val="00CE6BFD"/>
    <w:rsid w:val="00CE6CF2"/>
    <w:rsid w:val="00CE6EC9"/>
    <w:rsid w:val="00CE70A1"/>
    <w:rsid w:val="00CE7502"/>
    <w:rsid w:val="00CE75D2"/>
    <w:rsid w:val="00CE78F3"/>
    <w:rsid w:val="00CE7957"/>
    <w:rsid w:val="00CE7FA9"/>
    <w:rsid w:val="00CF0022"/>
    <w:rsid w:val="00CF00B9"/>
    <w:rsid w:val="00CF0433"/>
    <w:rsid w:val="00CF0FC9"/>
    <w:rsid w:val="00CF11B0"/>
    <w:rsid w:val="00CF131D"/>
    <w:rsid w:val="00CF1A2F"/>
    <w:rsid w:val="00CF2B29"/>
    <w:rsid w:val="00CF3999"/>
    <w:rsid w:val="00CF4B43"/>
    <w:rsid w:val="00CF4FA3"/>
    <w:rsid w:val="00CF5040"/>
    <w:rsid w:val="00CF54CB"/>
    <w:rsid w:val="00CF5744"/>
    <w:rsid w:val="00CF5D1B"/>
    <w:rsid w:val="00CF609B"/>
    <w:rsid w:val="00CF6C61"/>
    <w:rsid w:val="00CF6CA1"/>
    <w:rsid w:val="00CF6D46"/>
    <w:rsid w:val="00CF70AA"/>
    <w:rsid w:val="00CF7105"/>
    <w:rsid w:val="00CF7229"/>
    <w:rsid w:val="00CF7AC2"/>
    <w:rsid w:val="00CF7B47"/>
    <w:rsid w:val="00CF7D36"/>
    <w:rsid w:val="00D00148"/>
    <w:rsid w:val="00D00353"/>
    <w:rsid w:val="00D00B1A"/>
    <w:rsid w:val="00D01304"/>
    <w:rsid w:val="00D01805"/>
    <w:rsid w:val="00D01ACE"/>
    <w:rsid w:val="00D01E6F"/>
    <w:rsid w:val="00D021F4"/>
    <w:rsid w:val="00D0227F"/>
    <w:rsid w:val="00D02351"/>
    <w:rsid w:val="00D026D3"/>
    <w:rsid w:val="00D0270A"/>
    <w:rsid w:val="00D02A8D"/>
    <w:rsid w:val="00D02C01"/>
    <w:rsid w:val="00D02C2A"/>
    <w:rsid w:val="00D03A35"/>
    <w:rsid w:val="00D03BEC"/>
    <w:rsid w:val="00D03C95"/>
    <w:rsid w:val="00D04112"/>
    <w:rsid w:val="00D04740"/>
    <w:rsid w:val="00D047EA"/>
    <w:rsid w:val="00D04D0F"/>
    <w:rsid w:val="00D04FA8"/>
    <w:rsid w:val="00D05267"/>
    <w:rsid w:val="00D05971"/>
    <w:rsid w:val="00D059A9"/>
    <w:rsid w:val="00D06020"/>
    <w:rsid w:val="00D06070"/>
    <w:rsid w:val="00D06470"/>
    <w:rsid w:val="00D07454"/>
    <w:rsid w:val="00D0756C"/>
    <w:rsid w:val="00D0779E"/>
    <w:rsid w:val="00D0780A"/>
    <w:rsid w:val="00D07DAD"/>
    <w:rsid w:val="00D07E8F"/>
    <w:rsid w:val="00D101CD"/>
    <w:rsid w:val="00D101E2"/>
    <w:rsid w:val="00D103CE"/>
    <w:rsid w:val="00D105D9"/>
    <w:rsid w:val="00D105E9"/>
    <w:rsid w:val="00D1062F"/>
    <w:rsid w:val="00D10903"/>
    <w:rsid w:val="00D10BCE"/>
    <w:rsid w:val="00D10D61"/>
    <w:rsid w:val="00D10DF1"/>
    <w:rsid w:val="00D10FA6"/>
    <w:rsid w:val="00D11D5A"/>
    <w:rsid w:val="00D11F1E"/>
    <w:rsid w:val="00D1211C"/>
    <w:rsid w:val="00D12216"/>
    <w:rsid w:val="00D122E7"/>
    <w:rsid w:val="00D13522"/>
    <w:rsid w:val="00D136ED"/>
    <w:rsid w:val="00D13C9B"/>
    <w:rsid w:val="00D14B53"/>
    <w:rsid w:val="00D14B89"/>
    <w:rsid w:val="00D15075"/>
    <w:rsid w:val="00D15706"/>
    <w:rsid w:val="00D15DB4"/>
    <w:rsid w:val="00D16534"/>
    <w:rsid w:val="00D166C8"/>
    <w:rsid w:val="00D16A96"/>
    <w:rsid w:val="00D16B29"/>
    <w:rsid w:val="00D16CB2"/>
    <w:rsid w:val="00D16CB9"/>
    <w:rsid w:val="00D16EB0"/>
    <w:rsid w:val="00D171F4"/>
    <w:rsid w:val="00D1758E"/>
    <w:rsid w:val="00D1782F"/>
    <w:rsid w:val="00D17D4B"/>
    <w:rsid w:val="00D17EA7"/>
    <w:rsid w:val="00D2025B"/>
    <w:rsid w:val="00D20352"/>
    <w:rsid w:val="00D20822"/>
    <w:rsid w:val="00D208E9"/>
    <w:rsid w:val="00D20B85"/>
    <w:rsid w:val="00D20F6F"/>
    <w:rsid w:val="00D2141F"/>
    <w:rsid w:val="00D215F0"/>
    <w:rsid w:val="00D21D04"/>
    <w:rsid w:val="00D21FB8"/>
    <w:rsid w:val="00D224C3"/>
    <w:rsid w:val="00D22604"/>
    <w:rsid w:val="00D2266E"/>
    <w:rsid w:val="00D2271D"/>
    <w:rsid w:val="00D2298F"/>
    <w:rsid w:val="00D22A43"/>
    <w:rsid w:val="00D22F77"/>
    <w:rsid w:val="00D2308F"/>
    <w:rsid w:val="00D231A9"/>
    <w:rsid w:val="00D2338D"/>
    <w:rsid w:val="00D23A25"/>
    <w:rsid w:val="00D23CD4"/>
    <w:rsid w:val="00D2414B"/>
    <w:rsid w:val="00D242A4"/>
    <w:rsid w:val="00D24662"/>
    <w:rsid w:val="00D246E2"/>
    <w:rsid w:val="00D24B48"/>
    <w:rsid w:val="00D24B9D"/>
    <w:rsid w:val="00D252DD"/>
    <w:rsid w:val="00D25645"/>
    <w:rsid w:val="00D26242"/>
    <w:rsid w:val="00D264E6"/>
    <w:rsid w:val="00D267BC"/>
    <w:rsid w:val="00D26AE9"/>
    <w:rsid w:val="00D26EBC"/>
    <w:rsid w:val="00D278E4"/>
    <w:rsid w:val="00D27AC9"/>
    <w:rsid w:val="00D27D12"/>
    <w:rsid w:val="00D27DE7"/>
    <w:rsid w:val="00D30628"/>
    <w:rsid w:val="00D31158"/>
    <w:rsid w:val="00D311D8"/>
    <w:rsid w:val="00D316FE"/>
    <w:rsid w:val="00D322F4"/>
    <w:rsid w:val="00D32356"/>
    <w:rsid w:val="00D329DD"/>
    <w:rsid w:val="00D337D3"/>
    <w:rsid w:val="00D33812"/>
    <w:rsid w:val="00D339A9"/>
    <w:rsid w:val="00D33F64"/>
    <w:rsid w:val="00D34146"/>
    <w:rsid w:val="00D341A7"/>
    <w:rsid w:val="00D3491A"/>
    <w:rsid w:val="00D35263"/>
    <w:rsid w:val="00D355D6"/>
    <w:rsid w:val="00D3565E"/>
    <w:rsid w:val="00D36032"/>
    <w:rsid w:val="00D36224"/>
    <w:rsid w:val="00D36590"/>
    <w:rsid w:val="00D3693A"/>
    <w:rsid w:val="00D36C37"/>
    <w:rsid w:val="00D36D45"/>
    <w:rsid w:val="00D3727B"/>
    <w:rsid w:val="00D37895"/>
    <w:rsid w:val="00D37B73"/>
    <w:rsid w:val="00D37C9B"/>
    <w:rsid w:val="00D4002B"/>
    <w:rsid w:val="00D403C6"/>
    <w:rsid w:val="00D404B3"/>
    <w:rsid w:val="00D40A85"/>
    <w:rsid w:val="00D410F5"/>
    <w:rsid w:val="00D41432"/>
    <w:rsid w:val="00D41542"/>
    <w:rsid w:val="00D417DD"/>
    <w:rsid w:val="00D41F26"/>
    <w:rsid w:val="00D422D4"/>
    <w:rsid w:val="00D42D3C"/>
    <w:rsid w:val="00D42D7F"/>
    <w:rsid w:val="00D42DC8"/>
    <w:rsid w:val="00D433D1"/>
    <w:rsid w:val="00D4390F"/>
    <w:rsid w:val="00D43ADC"/>
    <w:rsid w:val="00D43CBC"/>
    <w:rsid w:val="00D43E70"/>
    <w:rsid w:val="00D44106"/>
    <w:rsid w:val="00D44145"/>
    <w:rsid w:val="00D44659"/>
    <w:rsid w:val="00D44704"/>
    <w:rsid w:val="00D4475C"/>
    <w:rsid w:val="00D44E05"/>
    <w:rsid w:val="00D44F7F"/>
    <w:rsid w:val="00D4511A"/>
    <w:rsid w:val="00D4535C"/>
    <w:rsid w:val="00D4593A"/>
    <w:rsid w:val="00D45AE1"/>
    <w:rsid w:val="00D45AE3"/>
    <w:rsid w:val="00D45C35"/>
    <w:rsid w:val="00D45F1D"/>
    <w:rsid w:val="00D45F44"/>
    <w:rsid w:val="00D461BF"/>
    <w:rsid w:val="00D461E5"/>
    <w:rsid w:val="00D469D6"/>
    <w:rsid w:val="00D46CD4"/>
    <w:rsid w:val="00D47602"/>
    <w:rsid w:val="00D47ABF"/>
    <w:rsid w:val="00D47B65"/>
    <w:rsid w:val="00D47BBC"/>
    <w:rsid w:val="00D47D1C"/>
    <w:rsid w:val="00D506BE"/>
    <w:rsid w:val="00D50AFE"/>
    <w:rsid w:val="00D50B43"/>
    <w:rsid w:val="00D50D2E"/>
    <w:rsid w:val="00D50DBC"/>
    <w:rsid w:val="00D50E28"/>
    <w:rsid w:val="00D515DC"/>
    <w:rsid w:val="00D51A01"/>
    <w:rsid w:val="00D5226E"/>
    <w:rsid w:val="00D52576"/>
    <w:rsid w:val="00D526BC"/>
    <w:rsid w:val="00D52799"/>
    <w:rsid w:val="00D52C79"/>
    <w:rsid w:val="00D52CD4"/>
    <w:rsid w:val="00D53297"/>
    <w:rsid w:val="00D533D0"/>
    <w:rsid w:val="00D53566"/>
    <w:rsid w:val="00D53594"/>
    <w:rsid w:val="00D54844"/>
    <w:rsid w:val="00D549F0"/>
    <w:rsid w:val="00D54ECB"/>
    <w:rsid w:val="00D54EDB"/>
    <w:rsid w:val="00D555F7"/>
    <w:rsid w:val="00D55641"/>
    <w:rsid w:val="00D55B67"/>
    <w:rsid w:val="00D56062"/>
    <w:rsid w:val="00D56135"/>
    <w:rsid w:val="00D56689"/>
    <w:rsid w:val="00D56946"/>
    <w:rsid w:val="00D56983"/>
    <w:rsid w:val="00D56994"/>
    <w:rsid w:val="00D56FA4"/>
    <w:rsid w:val="00D57020"/>
    <w:rsid w:val="00D5733D"/>
    <w:rsid w:val="00D60401"/>
    <w:rsid w:val="00D60713"/>
    <w:rsid w:val="00D60A88"/>
    <w:rsid w:val="00D60AD5"/>
    <w:rsid w:val="00D60BD4"/>
    <w:rsid w:val="00D60C65"/>
    <w:rsid w:val="00D60E9F"/>
    <w:rsid w:val="00D6102E"/>
    <w:rsid w:val="00D61890"/>
    <w:rsid w:val="00D61F7C"/>
    <w:rsid w:val="00D6276A"/>
    <w:rsid w:val="00D63318"/>
    <w:rsid w:val="00D6361B"/>
    <w:rsid w:val="00D63688"/>
    <w:rsid w:val="00D63A2D"/>
    <w:rsid w:val="00D63E73"/>
    <w:rsid w:val="00D63FC3"/>
    <w:rsid w:val="00D64682"/>
    <w:rsid w:val="00D65A85"/>
    <w:rsid w:val="00D661E5"/>
    <w:rsid w:val="00D66408"/>
    <w:rsid w:val="00D668F7"/>
    <w:rsid w:val="00D66A5F"/>
    <w:rsid w:val="00D66C60"/>
    <w:rsid w:val="00D6746C"/>
    <w:rsid w:val="00D67595"/>
    <w:rsid w:val="00D6781D"/>
    <w:rsid w:val="00D678A2"/>
    <w:rsid w:val="00D67918"/>
    <w:rsid w:val="00D6796A"/>
    <w:rsid w:val="00D67FC4"/>
    <w:rsid w:val="00D70165"/>
    <w:rsid w:val="00D7049B"/>
    <w:rsid w:val="00D704C8"/>
    <w:rsid w:val="00D72EF1"/>
    <w:rsid w:val="00D7321A"/>
    <w:rsid w:val="00D735EA"/>
    <w:rsid w:val="00D73622"/>
    <w:rsid w:val="00D737E0"/>
    <w:rsid w:val="00D73F84"/>
    <w:rsid w:val="00D741D0"/>
    <w:rsid w:val="00D7433F"/>
    <w:rsid w:val="00D74500"/>
    <w:rsid w:val="00D74833"/>
    <w:rsid w:val="00D74A6F"/>
    <w:rsid w:val="00D75788"/>
    <w:rsid w:val="00D75A65"/>
    <w:rsid w:val="00D75E22"/>
    <w:rsid w:val="00D75F0D"/>
    <w:rsid w:val="00D76466"/>
    <w:rsid w:val="00D76527"/>
    <w:rsid w:val="00D76B26"/>
    <w:rsid w:val="00D76C8B"/>
    <w:rsid w:val="00D76DF2"/>
    <w:rsid w:val="00D773D8"/>
    <w:rsid w:val="00D77456"/>
    <w:rsid w:val="00D77779"/>
    <w:rsid w:val="00D7785C"/>
    <w:rsid w:val="00D77F74"/>
    <w:rsid w:val="00D8006E"/>
    <w:rsid w:val="00D80409"/>
    <w:rsid w:val="00D80DC9"/>
    <w:rsid w:val="00D80F7D"/>
    <w:rsid w:val="00D816A6"/>
    <w:rsid w:val="00D81783"/>
    <w:rsid w:val="00D81937"/>
    <w:rsid w:val="00D81993"/>
    <w:rsid w:val="00D81AA2"/>
    <w:rsid w:val="00D8204E"/>
    <w:rsid w:val="00D821A3"/>
    <w:rsid w:val="00D830C1"/>
    <w:rsid w:val="00D83149"/>
    <w:rsid w:val="00D8346E"/>
    <w:rsid w:val="00D836F2"/>
    <w:rsid w:val="00D837E5"/>
    <w:rsid w:val="00D83BF2"/>
    <w:rsid w:val="00D83D1E"/>
    <w:rsid w:val="00D83FF1"/>
    <w:rsid w:val="00D840ED"/>
    <w:rsid w:val="00D8434F"/>
    <w:rsid w:val="00D847C8"/>
    <w:rsid w:val="00D847D9"/>
    <w:rsid w:val="00D848BE"/>
    <w:rsid w:val="00D84A60"/>
    <w:rsid w:val="00D8510A"/>
    <w:rsid w:val="00D855EC"/>
    <w:rsid w:val="00D862D3"/>
    <w:rsid w:val="00D86748"/>
    <w:rsid w:val="00D867E7"/>
    <w:rsid w:val="00D86846"/>
    <w:rsid w:val="00D86880"/>
    <w:rsid w:val="00D86D7C"/>
    <w:rsid w:val="00D86F3D"/>
    <w:rsid w:val="00D8719C"/>
    <w:rsid w:val="00D87E86"/>
    <w:rsid w:val="00D87EAE"/>
    <w:rsid w:val="00D904A2"/>
    <w:rsid w:val="00D90AE9"/>
    <w:rsid w:val="00D90E7A"/>
    <w:rsid w:val="00D9111D"/>
    <w:rsid w:val="00D913E2"/>
    <w:rsid w:val="00D91B7B"/>
    <w:rsid w:val="00D9200A"/>
    <w:rsid w:val="00D92C4F"/>
    <w:rsid w:val="00D930D3"/>
    <w:rsid w:val="00D93E74"/>
    <w:rsid w:val="00D945C0"/>
    <w:rsid w:val="00D94A15"/>
    <w:rsid w:val="00D952A4"/>
    <w:rsid w:val="00D954EA"/>
    <w:rsid w:val="00D95E19"/>
    <w:rsid w:val="00D9638F"/>
    <w:rsid w:val="00D96789"/>
    <w:rsid w:val="00D969BF"/>
    <w:rsid w:val="00D973E7"/>
    <w:rsid w:val="00D975F6"/>
    <w:rsid w:val="00D97624"/>
    <w:rsid w:val="00D97ADD"/>
    <w:rsid w:val="00D97B78"/>
    <w:rsid w:val="00DA0068"/>
    <w:rsid w:val="00DA0152"/>
    <w:rsid w:val="00DA032D"/>
    <w:rsid w:val="00DA08CD"/>
    <w:rsid w:val="00DA09BA"/>
    <w:rsid w:val="00DA136D"/>
    <w:rsid w:val="00DA14B0"/>
    <w:rsid w:val="00DA1A01"/>
    <w:rsid w:val="00DA1CA1"/>
    <w:rsid w:val="00DA21B9"/>
    <w:rsid w:val="00DA249E"/>
    <w:rsid w:val="00DA25B1"/>
    <w:rsid w:val="00DA27E8"/>
    <w:rsid w:val="00DA28B3"/>
    <w:rsid w:val="00DA29CE"/>
    <w:rsid w:val="00DA3074"/>
    <w:rsid w:val="00DA3162"/>
    <w:rsid w:val="00DA35DF"/>
    <w:rsid w:val="00DA3A34"/>
    <w:rsid w:val="00DA458E"/>
    <w:rsid w:val="00DA4A4B"/>
    <w:rsid w:val="00DA4A9A"/>
    <w:rsid w:val="00DA4F43"/>
    <w:rsid w:val="00DA5186"/>
    <w:rsid w:val="00DA5304"/>
    <w:rsid w:val="00DA545D"/>
    <w:rsid w:val="00DA5A27"/>
    <w:rsid w:val="00DA5AA3"/>
    <w:rsid w:val="00DA602A"/>
    <w:rsid w:val="00DA61E4"/>
    <w:rsid w:val="00DA6AA9"/>
    <w:rsid w:val="00DA6BB4"/>
    <w:rsid w:val="00DA6D76"/>
    <w:rsid w:val="00DA6DE3"/>
    <w:rsid w:val="00DA6FB3"/>
    <w:rsid w:val="00DA7786"/>
    <w:rsid w:val="00DA7E84"/>
    <w:rsid w:val="00DB045F"/>
    <w:rsid w:val="00DB0AC6"/>
    <w:rsid w:val="00DB10AF"/>
    <w:rsid w:val="00DB116A"/>
    <w:rsid w:val="00DB145B"/>
    <w:rsid w:val="00DB1BB1"/>
    <w:rsid w:val="00DB1E71"/>
    <w:rsid w:val="00DB2451"/>
    <w:rsid w:val="00DB2484"/>
    <w:rsid w:val="00DB24EA"/>
    <w:rsid w:val="00DB2538"/>
    <w:rsid w:val="00DB2ECE"/>
    <w:rsid w:val="00DB3060"/>
    <w:rsid w:val="00DB3810"/>
    <w:rsid w:val="00DB39EA"/>
    <w:rsid w:val="00DB3F98"/>
    <w:rsid w:val="00DB43A0"/>
    <w:rsid w:val="00DB4976"/>
    <w:rsid w:val="00DB497D"/>
    <w:rsid w:val="00DB5025"/>
    <w:rsid w:val="00DB5342"/>
    <w:rsid w:val="00DB54CA"/>
    <w:rsid w:val="00DB5867"/>
    <w:rsid w:val="00DB58DB"/>
    <w:rsid w:val="00DB59BC"/>
    <w:rsid w:val="00DB5B75"/>
    <w:rsid w:val="00DB622C"/>
    <w:rsid w:val="00DB6255"/>
    <w:rsid w:val="00DB656F"/>
    <w:rsid w:val="00DB676C"/>
    <w:rsid w:val="00DB6869"/>
    <w:rsid w:val="00DB6C9D"/>
    <w:rsid w:val="00DB6D1F"/>
    <w:rsid w:val="00DB6EAA"/>
    <w:rsid w:val="00DB7358"/>
    <w:rsid w:val="00DB73AC"/>
    <w:rsid w:val="00DB7857"/>
    <w:rsid w:val="00DC0600"/>
    <w:rsid w:val="00DC0C14"/>
    <w:rsid w:val="00DC112D"/>
    <w:rsid w:val="00DC118F"/>
    <w:rsid w:val="00DC11E8"/>
    <w:rsid w:val="00DC151E"/>
    <w:rsid w:val="00DC16C8"/>
    <w:rsid w:val="00DC18E8"/>
    <w:rsid w:val="00DC1BC2"/>
    <w:rsid w:val="00DC1FEE"/>
    <w:rsid w:val="00DC200E"/>
    <w:rsid w:val="00DC2216"/>
    <w:rsid w:val="00DC2330"/>
    <w:rsid w:val="00DC26BE"/>
    <w:rsid w:val="00DC26BF"/>
    <w:rsid w:val="00DC27DB"/>
    <w:rsid w:val="00DC384D"/>
    <w:rsid w:val="00DC3BEC"/>
    <w:rsid w:val="00DC40BC"/>
    <w:rsid w:val="00DC42D0"/>
    <w:rsid w:val="00DC42F3"/>
    <w:rsid w:val="00DC5A6B"/>
    <w:rsid w:val="00DC6379"/>
    <w:rsid w:val="00DC6CBC"/>
    <w:rsid w:val="00DC72B8"/>
    <w:rsid w:val="00DC7676"/>
    <w:rsid w:val="00DC7823"/>
    <w:rsid w:val="00DC79D2"/>
    <w:rsid w:val="00DC7C34"/>
    <w:rsid w:val="00DC7F0B"/>
    <w:rsid w:val="00DD06F7"/>
    <w:rsid w:val="00DD076A"/>
    <w:rsid w:val="00DD0951"/>
    <w:rsid w:val="00DD0DE3"/>
    <w:rsid w:val="00DD11D2"/>
    <w:rsid w:val="00DD1249"/>
    <w:rsid w:val="00DD12F5"/>
    <w:rsid w:val="00DD16FA"/>
    <w:rsid w:val="00DD171F"/>
    <w:rsid w:val="00DD176E"/>
    <w:rsid w:val="00DD1C40"/>
    <w:rsid w:val="00DD1E08"/>
    <w:rsid w:val="00DD251F"/>
    <w:rsid w:val="00DD258A"/>
    <w:rsid w:val="00DD2971"/>
    <w:rsid w:val="00DD2A31"/>
    <w:rsid w:val="00DD2CAA"/>
    <w:rsid w:val="00DD3416"/>
    <w:rsid w:val="00DD3623"/>
    <w:rsid w:val="00DD4298"/>
    <w:rsid w:val="00DD44A9"/>
    <w:rsid w:val="00DD46E1"/>
    <w:rsid w:val="00DD49A0"/>
    <w:rsid w:val="00DD4D76"/>
    <w:rsid w:val="00DD5214"/>
    <w:rsid w:val="00DD54F3"/>
    <w:rsid w:val="00DD562A"/>
    <w:rsid w:val="00DD57EA"/>
    <w:rsid w:val="00DD5C89"/>
    <w:rsid w:val="00DD5E22"/>
    <w:rsid w:val="00DD6289"/>
    <w:rsid w:val="00DD63EF"/>
    <w:rsid w:val="00DD641A"/>
    <w:rsid w:val="00DD6504"/>
    <w:rsid w:val="00DD6660"/>
    <w:rsid w:val="00DD6CC2"/>
    <w:rsid w:val="00DD6DE0"/>
    <w:rsid w:val="00DD743E"/>
    <w:rsid w:val="00DD749A"/>
    <w:rsid w:val="00DD780A"/>
    <w:rsid w:val="00DD78D5"/>
    <w:rsid w:val="00DD7D7A"/>
    <w:rsid w:val="00DD7FF3"/>
    <w:rsid w:val="00DE0739"/>
    <w:rsid w:val="00DE0938"/>
    <w:rsid w:val="00DE0A62"/>
    <w:rsid w:val="00DE0B30"/>
    <w:rsid w:val="00DE1544"/>
    <w:rsid w:val="00DE1711"/>
    <w:rsid w:val="00DE19A4"/>
    <w:rsid w:val="00DE1B5B"/>
    <w:rsid w:val="00DE22BF"/>
    <w:rsid w:val="00DE2534"/>
    <w:rsid w:val="00DE2685"/>
    <w:rsid w:val="00DE2A2E"/>
    <w:rsid w:val="00DE2A6E"/>
    <w:rsid w:val="00DE2AFA"/>
    <w:rsid w:val="00DE2FB0"/>
    <w:rsid w:val="00DE303D"/>
    <w:rsid w:val="00DE3634"/>
    <w:rsid w:val="00DE365F"/>
    <w:rsid w:val="00DE3B69"/>
    <w:rsid w:val="00DE3EC9"/>
    <w:rsid w:val="00DE3EDC"/>
    <w:rsid w:val="00DE424C"/>
    <w:rsid w:val="00DE45AA"/>
    <w:rsid w:val="00DE4957"/>
    <w:rsid w:val="00DE4C45"/>
    <w:rsid w:val="00DE5017"/>
    <w:rsid w:val="00DE5138"/>
    <w:rsid w:val="00DE523D"/>
    <w:rsid w:val="00DE534F"/>
    <w:rsid w:val="00DE5386"/>
    <w:rsid w:val="00DE55CA"/>
    <w:rsid w:val="00DE58A2"/>
    <w:rsid w:val="00DE6419"/>
    <w:rsid w:val="00DE6D63"/>
    <w:rsid w:val="00DE708E"/>
    <w:rsid w:val="00DE79CA"/>
    <w:rsid w:val="00DE7D11"/>
    <w:rsid w:val="00DE7DC4"/>
    <w:rsid w:val="00DE7FA3"/>
    <w:rsid w:val="00DF0201"/>
    <w:rsid w:val="00DF0236"/>
    <w:rsid w:val="00DF04AC"/>
    <w:rsid w:val="00DF0859"/>
    <w:rsid w:val="00DF090C"/>
    <w:rsid w:val="00DF090F"/>
    <w:rsid w:val="00DF0B2A"/>
    <w:rsid w:val="00DF0B8C"/>
    <w:rsid w:val="00DF0E83"/>
    <w:rsid w:val="00DF13D9"/>
    <w:rsid w:val="00DF1477"/>
    <w:rsid w:val="00DF1800"/>
    <w:rsid w:val="00DF1A2F"/>
    <w:rsid w:val="00DF2866"/>
    <w:rsid w:val="00DF2A91"/>
    <w:rsid w:val="00DF2D34"/>
    <w:rsid w:val="00DF2DD7"/>
    <w:rsid w:val="00DF3278"/>
    <w:rsid w:val="00DF3A2F"/>
    <w:rsid w:val="00DF3B8F"/>
    <w:rsid w:val="00DF4047"/>
    <w:rsid w:val="00DF42E8"/>
    <w:rsid w:val="00DF4A7F"/>
    <w:rsid w:val="00DF5241"/>
    <w:rsid w:val="00DF53D2"/>
    <w:rsid w:val="00DF56BB"/>
    <w:rsid w:val="00DF5794"/>
    <w:rsid w:val="00DF5C91"/>
    <w:rsid w:val="00DF627A"/>
    <w:rsid w:val="00DF646E"/>
    <w:rsid w:val="00DF6562"/>
    <w:rsid w:val="00DF6C2F"/>
    <w:rsid w:val="00DF7DE9"/>
    <w:rsid w:val="00E00120"/>
    <w:rsid w:val="00E00227"/>
    <w:rsid w:val="00E0040D"/>
    <w:rsid w:val="00E00773"/>
    <w:rsid w:val="00E00FEF"/>
    <w:rsid w:val="00E01828"/>
    <w:rsid w:val="00E01876"/>
    <w:rsid w:val="00E019F3"/>
    <w:rsid w:val="00E01D7F"/>
    <w:rsid w:val="00E01DC4"/>
    <w:rsid w:val="00E02183"/>
    <w:rsid w:val="00E02191"/>
    <w:rsid w:val="00E021E5"/>
    <w:rsid w:val="00E022E6"/>
    <w:rsid w:val="00E02320"/>
    <w:rsid w:val="00E0239B"/>
    <w:rsid w:val="00E0248F"/>
    <w:rsid w:val="00E02863"/>
    <w:rsid w:val="00E02A16"/>
    <w:rsid w:val="00E02EC4"/>
    <w:rsid w:val="00E0336A"/>
    <w:rsid w:val="00E03D7D"/>
    <w:rsid w:val="00E040BF"/>
    <w:rsid w:val="00E0446C"/>
    <w:rsid w:val="00E046F9"/>
    <w:rsid w:val="00E04C54"/>
    <w:rsid w:val="00E05213"/>
    <w:rsid w:val="00E05ACF"/>
    <w:rsid w:val="00E05CCD"/>
    <w:rsid w:val="00E06875"/>
    <w:rsid w:val="00E06AF3"/>
    <w:rsid w:val="00E06BE2"/>
    <w:rsid w:val="00E070E2"/>
    <w:rsid w:val="00E07637"/>
    <w:rsid w:val="00E0796C"/>
    <w:rsid w:val="00E07BD1"/>
    <w:rsid w:val="00E07E1E"/>
    <w:rsid w:val="00E101F4"/>
    <w:rsid w:val="00E10505"/>
    <w:rsid w:val="00E106ED"/>
    <w:rsid w:val="00E11254"/>
    <w:rsid w:val="00E11438"/>
    <w:rsid w:val="00E118E0"/>
    <w:rsid w:val="00E1192E"/>
    <w:rsid w:val="00E11B61"/>
    <w:rsid w:val="00E12461"/>
    <w:rsid w:val="00E129A3"/>
    <w:rsid w:val="00E130A3"/>
    <w:rsid w:val="00E1313B"/>
    <w:rsid w:val="00E131B1"/>
    <w:rsid w:val="00E13674"/>
    <w:rsid w:val="00E13FC1"/>
    <w:rsid w:val="00E14357"/>
    <w:rsid w:val="00E14837"/>
    <w:rsid w:val="00E14B67"/>
    <w:rsid w:val="00E1538E"/>
    <w:rsid w:val="00E15456"/>
    <w:rsid w:val="00E1576C"/>
    <w:rsid w:val="00E15D45"/>
    <w:rsid w:val="00E16057"/>
    <w:rsid w:val="00E16C56"/>
    <w:rsid w:val="00E17387"/>
    <w:rsid w:val="00E1761E"/>
    <w:rsid w:val="00E1777D"/>
    <w:rsid w:val="00E20114"/>
    <w:rsid w:val="00E201A1"/>
    <w:rsid w:val="00E2097E"/>
    <w:rsid w:val="00E20C4A"/>
    <w:rsid w:val="00E20E2B"/>
    <w:rsid w:val="00E21D7B"/>
    <w:rsid w:val="00E21DD1"/>
    <w:rsid w:val="00E21F3F"/>
    <w:rsid w:val="00E2206E"/>
    <w:rsid w:val="00E2240C"/>
    <w:rsid w:val="00E2250B"/>
    <w:rsid w:val="00E22EAD"/>
    <w:rsid w:val="00E22EAF"/>
    <w:rsid w:val="00E23299"/>
    <w:rsid w:val="00E232D9"/>
    <w:rsid w:val="00E2380A"/>
    <w:rsid w:val="00E239F2"/>
    <w:rsid w:val="00E23B1C"/>
    <w:rsid w:val="00E2497C"/>
    <w:rsid w:val="00E24B9B"/>
    <w:rsid w:val="00E24F9D"/>
    <w:rsid w:val="00E250C5"/>
    <w:rsid w:val="00E25765"/>
    <w:rsid w:val="00E25BB1"/>
    <w:rsid w:val="00E26094"/>
    <w:rsid w:val="00E260B0"/>
    <w:rsid w:val="00E26371"/>
    <w:rsid w:val="00E264E4"/>
    <w:rsid w:val="00E2655D"/>
    <w:rsid w:val="00E26653"/>
    <w:rsid w:val="00E26811"/>
    <w:rsid w:val="00E26F35"/>
    <w:rsid w:val="00E26FF7"/>
    <w:rsid w:val="00E279B3"/>
    <w:rsid w:val="00E27B68"/>
    <w:rsid w:val="00E27C64"/>
    <w:rsid w:val="00E27EBB"/>
    <w:rsid w:val="00E3006C"/>
    <w:rsid w:val="00E300F3"/>
    <w:rsid w:val="00E303B9"/>
    <w:rsid w:val="00E31BD9"/>
    <w:rsid w:val="00E32137"/>
    <w:rsid w:val="00E32401"/>
    <w:rsid w:val="00E32563"/>
    <w:rsid w:val="00E32B8B"/>
    <w:rsid w:val="00E338FB"/>
    <w:rsid w:val="00E34B83"/>
    <w:rsid w:val="00E34C3B"/>
    <w:rsid w:val="00E35210"/>
    <w:rsid w:val="00E353F5"/>
    <w:rsid w:val="00E3562C"/>
    <w:rsid w:val="00E357E5"/>
    <w:rsid w:val="00E358CE"/>
    <w:rsid w:val="00E35CF8"/>
    <w:rsid w:val="00E364F5"/>
    <w:rsid w:val="00E36B1D"/>
    <w:rsid w:val="00E36F01"/>
    <w:rsid w:val="00E3793E"/>
    <w:rsid w:val="00E37B2C"/>
    <w:rsid w:val="00E37C4E"/>
    <w:rsid w:val="00E37D75"/>
    <w:rsid w:val="00E37E5E"/>
    <w:rsid w:val="00E408AD"/>
    <w:rsid w:val="00E408D0"/>
    <w:rsid w:val="00E40A8D"/>
    <w:rsid w:val="00E40E07"/>
    <w:rsid w:val="00E40E71"/>
    <w:rsid w:val="00E415D1"/>
    <w:rsid w:val="00E41AFC"/>
    <w:rsid w:val="00E41B6E"/>
    <w:rsid w:val="00E41C7D"/>
    <w:rsid w:val="00E41D14"/>
    <w:rsid w:val="00E430B7"/>
    <w:rsid w:val="00E433B6"/>
    <w:rsid w:val="00E43902"/>
    <w:rsid w:val="00E439BB"/>
    <w:rsid w:val="00E43C9E"/>
    <w:rsid w:val="00E43F21"/>
    <w:rsid w:val="00E44218"/>
    <w:rsid w:val="00E44D67"/>
    <w:rsid w:val="00E45522"/>
    <w:rsid w:val="00E455CB"/>
    <w:rsid w:val="00E45687"/>
    <w:rsid w:val="00E4583A"/>
    <w:rsid w:val="00E464B4"/>
    <w:rsid w:val="00E46B6B"/>
    <w:rsid w:val="00E4748C"/>
    <w:rsid w:val="00E47935"/>
    <w:rsid w:val="00E47E7E"/>
    <w:rsid w:val="00E47F89"/>
    <w:rsid w:val="00E50044"/>
    <w:rsid w:val="00E50121"/>
    <w:rsid w:val="00E50340"/>
    <w:rsid w:val="00E50E91"/>
    <w:rsid w:val="00E51947"/>
    <w:rsid w:val="00E51D99"/>
    <w:rsid w:val="00E52361"/>
    <w:rsid w:val="00E530AE"/>
    <w:rsid w:val="00E53424"/>
    <w:rsid w:val="00E5346A"/>
    <w:rsid w:val="00E535BD"/>
    <w:rsid w:val="00E53B5C"/>
    <w:rsid w:val="00E53D0F"/>
    <w:rsid w:val="00E53E4C"/>
    <w:rsid w:val="00E5435D"/>
    <w:rsid w:val="00E54699"/>
    <w:rsid w:val="00E5472E"/>
    <w:rsid w:val="00E54A73"/>
    <w:rsid w:val="00E54C4C"/>
    <w:rsid w:val="00E54DEC"/>
    <w:rsid w:val="00E55139"/>
    <w:rsid w:val="00E5540B"/>
    <w:rsid w:val="00E55614"/>
    <w:rsid w:val="00E55DFA"/>
    <w:rsid w:val="00E55F6C"/>
    <w:rsid w:val="00E55FB2"/>
    <w:rsid w:val="00E569B8"/>
    <w:rsid w:val="00E572CD"/>
    <w:rsid w:val="00E57602"/>
    <w:rsid w:val="00E577EF"/>
    <w:rsid w:val="00E60093"/>
    <w:rsid w:val="00E60652"/>
    <w:rsid w:val="00E60711"/>
    <w:rsid w:val="00E60BB1"/>
    <w:rsid w:val="00E60EDF"/>
    <w:rsid w:val="00E61135"/>
    <w:rsid w:val="00E615BA"/>
    <w:rsid w:val="00E61724"/>
    <w:rsid w:val="00E61CF8"/>
    <w:rsid w:val="00E61D96"/>
    <w:rsid w:val="00E62475"/>
    <w:rsid w:val="00E6286A"/>
    <w:rsid w:val="00E62D8A"/>
    <w:rsid w:val="00E632C9"/>
    <w:rsid w:val="00E63433"/>
    <w:rsid w:val="00E635F0"/>
    <w:rsid w:val="00E636F2"/>
    <w:rsid w:val="00E63B03"/>
    <w:rsid w:val="00E64141"/>
    <w:rsid w:val="00E6462A"/>
    <w:rsid w:val="00E647CC"/>
    <w:rsid w:val="00E64825"/>
    <w:rsid w:val="00E64CE1"/>
    <w:rsid w:val="00E65554"/>
    <w:rsid w:val="00E65F0C"/>
    <w:rsid w:val="00E66358"/>
    <w:rsid w:val="00E66581"/>
    <w:rsid w:val="00E666BA"/>
    <w:rsid w:val="00E66C58"/>
    <w:rsid w:val="00E66CAE"/>
    <w:rsid w:val="00E66EAA"/>
    <w:rsid w:val="00E671D2"/>
    <w:rsid w:val="00E6741C"/>
    <w:rsid w:val="00E67FBD"/>
    <w:rsid w:val="00E67FE3"/>
    <w:rsid w:val="00E709D9"/>
    <w:rsid w:val="00E70DDE"/>
    <w:rsid w:val="00E7140F"/>
    <w:rsid w:val="00E719C6"/>
    <w:rsid w:val="00E71B92"/>
    <w:rsid w:val="00E71EB7"/>
    <w:rsid w:val="00E7229C"/>
    <w:rsid w:val="00E724CD"/>
    <w:rsid w:val="00E727C8"/>
    <w:rsid w:val="00E729AD"/>
    <w:rsid w:val="00E72D29"/>
    <w:rsid w:val="00E72FD5"/>
    <w:rsid w:val="00E733D8"/>
    <w:rsid w:val="00E7344A"/>
    <w:rsid w:val="00E73A0D"/>
    <w:rsid w:val="00E73C4B"/>
    <w:rsid w:val="00E73CB4"/>
    <w:rsid w:val="00E747BD"/>
    <w:rsid w:val="00E7553A"/>
    <w:rsid w:val="00E755AC"/>
    <w:rsid w:val="00E75D71"/>
    <w:rsid w:val="00E7653E"/>
    <w:rsid w:val="00E767EC"/>
    <w:rsid w:val="00E7694E"/>
    <w:rsid w:val="00E76B49"/>
    <w:rsid w:val="00E76B91"/>
    <w:rsid w:val="00E7701E"/>
    <w:rsid w:val="00E77077"/>
    <w:rsid w:val="00E77833"/>
    <w:rsid w:val="00E77D02"/>
    <w:rsid w:val="00E77EA2"/>
    <w:rsid w:val="00E805A8"/>
    <w:rsid w:val="00E81199"/>
    <w:rsid w:val="00E81824"/>
    <w:rsid w:val="00E81A4B"/>
    <w:rsid w:val="00E81C9A"/>
    <w:rsid w:val="00E8239C"/>
    <w:rsid w:val="00E82BDE"/>
    <w:rsid w:val="00E82BDF"/>
    <w:rsid w:val="00E8424C"/>
    <w:rsid w:val="00E84764"/>
    <w:rsid w:val="00E84CC8"/>
    <w:rsid w:val="00E84D6B"/>
    <w:rsid w:val="00E852EA"/>
    <w:rsid w:val="00E85380"/>
    <w:rsid w:val="00E8588F"/>
    <w:rsid w:val="00E858DA"/>
    <w:rsid w:val="00E8595D"/>
    <w:rsid w:val="00E85D80"/>
    <w:rsid w:val="00E865CA"/>
    <w:rsid w:val="00E8660A"/>
    <w:rsid w:val="00E8663E"/>
    <w:rsid w:val="00E86C7E"/>
    <w:rsid w:val="00E86D35"/>
    <w:rsid w:val="00E86E12"/>
    <w:rsid w:val="00E86E82"/>
    <w:rsid w:val="00E86EDA"/>
    <w:rsid w:val="00E86F90"/>
    <w:rsid w:val="00E87031"/>
    <w:rsid w:val="00E87546"/>
    <w:rsid w:val="00E8794C"/>
    <w:rsid w:val="00E901B0"/>
    <w:rsid w:val="00E90213"/>
    <w:rsid w:val="00E90215"/>
    <w:rsid w:val="00E90381"/>
    <w:rsid w:val="00E904F4"/>
    <w:rsid w:val="00E90737"/>
    <w:rsid w:val="00E90744"/>
    <w:rsid w:val="00E9111B"/>
    <w:rsid w:val="00E91179"/>
    <w:rsid w:val="00E9173D"/>
    <w:rsid w:val="00E91943"/>
    <w:rsid w:val="00E91AAF"/>
    <w:rsid w:val="00E91DE7"/>
    <w:rsid w:val="00E921B0"/>
    <w:rsid w:val="00E92286"/>
    <w:rsid w:val="00E92321"/>
    <w:rsid w:val="00E926A8"/>
    <w:rsid w:val="00E93333"/>
    <w:rsid w:val="00E9355B"/>
    <w:rsid w:val="00E935B6"/>
    <w:rsid w:val="00E93859"/>
    <w:rsid w:val="00E93925"/>
    <w:rsid w:val="00E93DAB"/>
    <w:rsid w:val="00E94188"/>
    <w:rsid w:val="00E945C5"/>
    <w:rsid w:val="00E947E4"/>
    <w:rsid w:val="00E948E0"/>
    <w:rsid w:val="00E94CB0"/>
    <w:rsid w:val="00E94D50"/>
    <w:rsid w:val="00E94ECD"/>
    <w:rsid w:val="00E94F04"/>
    <w:rsid w:val="00E950DF"/>
    <w:rsid w:val="00E95316"/>
    <w:rsid w:val="00E95593"/>
    <w:rsid w:val="00E95D7E"/>
    <w:rsid w:val="00E95DEA"/>
    <w:rsid w:val="00E9666D"/>
    <w:rsid w:val="00E9668F"/>
    <w:rsid w:val="00E9688A"/>
    <w:rsid w:val="00E96DFA"/>
    <w:rsid w:val="00EA0436"/>
    <w:rsid w:val="00EA04D5"/>
    <w:rsid w:val="00EA0701"/>
    <w:rsid w:val="00EA093D"/>
    <w:rsid w:val="00EA0C61"/>
    <w:rsid w:val="00EA0FCB"/>
    <w:rsid w:val="00EA10B0"/>
    <w:rsid w:val="00EA111F"/>
    <w:rsid w:val="00EA12DE"/>
    <w:rsid w:val="00EA14B8"/>
    <w:rsid w:val="00EA152F"/>
    <w:rsid w:val="00EA192A"/>
    <w:rsid w:val="00EA1DAD"/>
    <w:rsid w:val="00EA22C2"/>
    <w:rsid w:val="00EA2323"/>
    <w:rsid w:val="00EA2DF6"/>
    <w:rsid w:val="00EA3102"/>
    <w:rsid w:val="00EA31BB"/>
    <w:rsid w:val="00EA32FC"/>
    <w:rsid w:val="00EA3740"/>
    <w:rsid w:val="00EA39C8"/>
    <w:rsid w:val="00EA3CB0"/>
    <w:rsid w:val="00EA3F87"/>
    <w:rsid w:val="00EA4C73"/>
    <w:rsid w:val="00EA5282"/>
    <w:rsid w:val="00EA5504"/>
    <w:rsid w:val="00EA5CF5"/>
    <w:rsid w:val="00EA5DFD"/>
    <w:rsid w:val="00EA625A"/>
    <w:rsid w:val="00EA653B"/>
    <w:rsid w:val="00EA6ABD"/>
    <w:rsid w:val="00EA6BAA"/>
    <w:rsid w:val="00EA728F"/>
    <w:rsid w:val="00EA77A2"/>
    <w:rsid w:val="00EB022C"/>
    <w:rsid w:val="00EB0248"/>
    <w:rsid w:val="00EB0B1C"/>
    <w:rsid w:val="00EB0DF9"/>
    <w:rsid w:val="00EB1323"/>
    <w:rsid w:val="00EB13FE"/>
    <w:rsid w:val="00EB15A3"/>
    <w:rsid w:val="00EB1844"/>
    <w:rsid w:val="00EB21D5"/>
    <w:rsid w:val="00EB231D"/>
    <w:rsid w:val="00EB2323"/>
    <w:rsid w:val="00EB2737"/>
    <w:rsid w:val="00EB27B9"/>
    <w:rsid w:val="00EB2AC2"/>
    <w:rsid w:val="00EB2BD8"/>
    <w:rsid w:val="00EB2CAC"/>
    <w:rsid w:val="00EB2CFC"/>
    <w:rsid w:val="00EB31A7"/>
    <w:rsid w:val="00EB33CD"/>
    <w:rsid w:val="00EB3AF9"/>
    <w:rsid w:val="00EB3DDA"/>
    <w:rsid w:val="00EB4062"/>
    <w:rsid w:val="00EB4151"/>
    <w:rsid w:val="00EB4229"/>
    <w:rsid w:val="00EB4D47"/>
    <w:rsid w:val="00EB535C"/>
    <w:rsid w:val="00EB537E"/>
    <w:rsid w:val="00EB5B92"/>
    <w:rsid w:val="00EB6134"/>
    <w:rsid w:val="00EB61EA"/>
    <w:rsid w:val="00EB6CCE"/>
    <w:rsid w:val="00EB6FD8"/>
    <w:rsid w:val="00EB7003"/>
    <w:rsid w:val="00EB701C"/>
    <w:rsid w:val="00EB73EA"/>
    <w:rsid w:val="00EB74E3"/>
    <w:rsid w:val="00EB7D24"/>
    <w:rsid w:val="00EC06A9"/>
    <w:rsid w:val="00EC0928"/>
    <w:rsid w:val="00EC0D4A"/>
    <w:rsid w:val="00EC0D5B"/>
    <w:rsid w:val="00EC10AB"/>
    <w:rsid w:val="00EC117D"/>
    <w:rsid w:val="00EC1E2B"/>
    <w:rsid w:val="00EC2B19"/>
    <w:rsid w:val="00EC326C"/>
    <w:rsid w:val="00EC343F"/>
    <w:rsid w:val="00EC357A"/>
    <w:rsid w:val="00EC41C6"/>
    <w:rsid w:val="00EC41F0"/>
    <w:rsid w:val="00EC4440"/>
    <w:rsid w:val="00EC46AB"/>
    <w:rsid w:val="00EC4A9B"/>
    <w:rsid w:val="00EC55F0"/>
    <w:rsid w:val="00EC5944"/>
    <w:rsid w:val="00EC5A36"/>
    <w:rsid w:val="00EC5C55"/>
    <w:rsid w:val="00EC60B9"/>
    <w:rsid w:val="00EC61C0"/>
    <w:rsid w:val="00EC6419"/>
    <w:rsid w:val="00EC6BBC"/>
    <w:rsid w:val="00EC6F9F"/>
    <w:rsid w:val="00EC70D0"/>
    <w:rsid w:val="00EC7380"/>
    <w:rsid w:val="00EC73A9"/>
    <w:rsid w:val="00EC7442"/>
    <w:rsid w:val="00EC7AFB"/>
    <w:rsid w:val="00EC7F42"/>
    <w:rsid w:val="00ED0156"/>
    <w:rsid w:val="00ED0393"/>
    <w:rsid w:val="00ED058B"/>
    <w:rsid w:val="00ED0ECF"/>
    <w:rsid w:val="00ED1284"/>
    <w:rsid w:val="00ED1FC4"/>
    <w:rsid w:val="00ED27E8"/>
    <w:rsid w:val="00ED2D23"/>
    <w:rsid w:val="00ED33A1"/>
    <w:rsid w:val="00ED33C0"/>
    <w:rsid w:val="00ED367C"/>
    <w:rsid w:val="00ED3AD8"/>
    <w:rsid w:val="00ED455C"/>
    <w:rsid w:val="00ED4D45"/>
    <w:rsid w:val="00ED5C0E"/>
    <w:rsid w:val="00ED5F5F"/>
    <w:rsid w:val="00ED5F8D"/>
    <w:rsid w:val="00ED61B8"/>
    <w:rsid w:val="00ED6257"/>
    <w:rsid w:val="00ED63F3"/>
    <w:rsid w:val="00ED6F01"/>
    <w:rsid w:val="00ED745D"/>
    <w:rsid w:val="00ED7474"/>
    <w:rsid w:val="00ED77B2"/>
    <w:rsid w:val="00ED7E01"/>
    <w:rsid w:val="00ED7E95"/>
    <w:rsid w:val="00ED7F42"/>
    <w:rsid w:val="00EE09EC"/>
    <w:rsid w:val="00EE0FBD"/>
    <w:rsid w:val="00EE13BF"/>
    <w:rsid w:val="00EE14EA"/>
    <w:rsid w:val="00EE1555"/>
    <w:rsid w:val="00EE156A"/>
    <w:rsid w:val="00EE16F4"/>
    <w:rsid w:val="00EE1C7D"/>
    <w:rsid w:val="00EE223F"/>
    <w:rsid w:val="00EE254F"/>
    <w:rsid w:val="00EE29DB"/>
    <w:rsid w:val="00EE2CCD"/>
    <w:rsid w:val="00EE4B13"/>
    <w:rsid w:val="00EE4D6A"/>
    <w:rsid w:val="00EE50A1"/>
    <w:rsid w:val="00EE5808"/>
    <w:rsid w:val="00EE5A4D"/>
    <w:rsid w:val="00EE5AF0"/>
    <w:rsid w:val="00EE5B15"/>
    <w:rsid w:val="00EE5CB5"/>
    <w:rsid w:val="00EE6336"/>
    <w:rsid w:val="00EE73EB"/>
    <w:rsid w:val="00EE7620"/>
    <w:rsid w:val="00EE79AF"/>
    <w:rsid w:val="00EE7B3F"/>
    <w:rsid w:val="00EE7C0B"/>
    <w:rsid w:val="00EE7DCC"/>
    <w:rsid w:val="00EF0312"/>
    <w:rsid w:val="00EF0D27"/>
    <w:rsid w:val="00EF0D64"/>
    <w:rsid w:val="00EF1071"/>
    <w:rsid w:val="00EF1539"/>
    <w:rsid w:val="00EF166C"/>
    <w:rsid w:val="00EF1844"/>
    <w:rsid w:val="00EF1DC5"/>
    <w:rsid w:val="00EF1DE4"/>
    <w:rsid w:val="00EF1E40"/>
    <w:rsid w:val="00EF2330"/>
    <w:rsid w:val="00EF272B"/>
    <w:rsid w:val="00EF2DD6"/>
    <w:rsid w:val="00EF2DFE"/>
    <w:rsid w:val="00EF2E04"/>
    <w:rsid w:val="00EF2E64"/>
    <w:rsid w:val="00EF301B"/>
    <w:rsid w:val="00EF3118"/>
    <w:rsid w:val="00EF314C"/>
    <w:rsid w:val="00EF3414"/>
    <w:rsid w:val="00EF365E"/>
    <w:rsid w:val="00EF413E"/>
    <w:rsid w:val="00EF4406"/>
    <w:rsid w:val="00EF4774"/>
    <w:rsid w:val="00EF4896"/>
    <w:rsid w:val="00EF48A4"/>
    <w:rsid w:val="00EF5003"/>
    <w:rsid w:val="00EF5578"/>
    <w:rsid w:val="00EF6402"/>
    <w:rsid w:val="00EF6507"/>
    <w:rsid w:val="00EF6937"/>
    <w:rsid w:val="00EF6DC0"/>
    <w:rsid w:val="00EF7209"/>
    <w:rsid w:val="00EF79D0"/>
    <w:rsid w:val="00EF7AA4"/>
    <w:rsid w:val="00EF7AB8"/>
    <w:rsid w:val="00F00260"/>
    <w:rsid w:val="00F00A37"/>
    <w:rsid w:val="00F01403"/>
    <w:rsid w:val="00F0167C"/>
    <w:rsid w:val="00F016DC"/>
    <w:rsid w:val="00F01D3C"/>
    <w:rsid w:val="00F0219F"/>
    <w:rsid w:val="00F02509"/>
    <w:rsid w:val="00F02F4E"/>
    <w:rsid w:val="00F0312C"/>
    <w:rsid w:val="00F033FD"/>
    <w:rsid w:val="00F0382E"/>
    <w:rsid w:val="00F03DBE"/>
    <w:rsid w:val="00F0417F"/>
    <w:rsid w:val="00F04458"/>
    <w:rsid w:val="00F0479B"/>
    <w:rsid w:val="00F04BF6"/>
    <w:rsid w:val="00F04E03"/>
    <w:rsid w:val="00F051DC"/>
    <w:rsid w:val="00F058DA"/>
    <w:rsid w:val="00F058E4"/>
    <w:rsid w:val="00F06093"/>
    <w:rsid w:val="00F0635C"/>
    <w:rsid w:val="00F063EE"/>
    <w:rsid w:val="00F0659C"/>
    <w:rsid w:val="00F068D5"/>
    <w:rsid w:val="00F06DF5"/>
    <w:rsid w:val="00F06FB0"/>
    <w:rsid w:val="00F074F6"/>
    <w:rsid w:val="00F07D2D"/>
    <w:rsid w:val="00F07EC7"/>
    <w:rsid w:val="00F102CE"/>
    <w:rsid w:val="00F1035E"/>
    <w:rsid w:val="00F104B0"/>
    <w:rsid w:val="00F105F4"/>
    <w:rsid w:val="00F10948"/>
    <w:rsid w:val="00F10F03"/>
    <w:rsid w:val="00F11056"/>
    <w:rsid w:val="00F11152"/>
    <w:rsid w:val="00F11219"/>
    <w:rsid w:val="00F11532"/>
    <w:rsid w:val="00F11A54"/>
    <w:rsid w:val="00F11C63"/>
    <w:rsid w:val="00F11F54"/>
    <w:rsid w:val="00F11FC6"/>
    <w:rsid w:val="00F120CE"/>
    <w:rsid w:val="00F12519"/>
    <w:rsid w:val="00F13180"/>
    <w:rsid w:val="00F132EF"/>
    <w:rsid w:val="00F13794"/>
    <w:rsid w:val="00F13AB1"/>
    <w:rsid w:val="00F13BC1"/>
    <w:rsid w:val="00F13CCC"/>
    <w:rsid w:val="00F13E27"/>
    <w:rsid w:val="00F13F05"/>
    <w:rsid w:val="00F14009"/>
    <w:rsid w:val="00F14048"/>
    <w:rsid w:val="00F14123"/>
    <w:rsid w:val="00F14567"/>
    <w:rsid w:val="00F1471D"/>
    <w:rsid w:val="00F14A9F"/>
    <w:rsid w:val="00F156CB"/>
    <w:rsid w:val="00F15846"/>
    <w:rsid w:val="00F15884"/>
    <w:rsid w:val="00F16198"/>
    <w:rsid w:val="00F163AE"/>
    <w:rsid w:val="00F1649D"/>
    <w:rsid w:val="00F16EB0"/>
    <w:rsid w:val="00F170D1"/>
    <w:rsid w:val="00F17595"/>
    <w:rsid w:val="00F175FF"/>
    <w:rsid w:val="00F17660"/>
    <w:rsid w:val="00F177A1"/>
    <w:rsid w:val="00F17B83"/>
    <w:rsid w:val="00F17BDE"/>
    <w:rsid w:val="00F17E26"/>
    <w:rsid w:val="00F17F75"/>
    <w:rsid w:val="00F20312"/>
    <w:rsid w:val="00F205C5"/>
    <w:rsid w:val="00F208BA"/>
    <w:rsid w:val="00F20AFB"/>
    <w:rsid w:val="00F21E2F"/>
    <w:rsid w:val="00F22141"/>
    <w:rsid w:val="00F2222B"/>
    <w:rsid w:val="00F229CA"/>
    <w:rsid w:val="00F22C45"/>
    <w:rsid w:val="00F233AE"/>
    <w:rsid w:val="00F2344E"/>
    <w:rsid w:val="00F23ACC"/>
    <w:rsid w:val="00F23BB4"/>
    <w:rsid w:val="00F24AC7"/>
    <w:rsid w:val="00F24FF3"/>
    <w:rsid w:val="00F25071"/>
    <w:rsid w:val="00F25264"/>
    <w:rsid w:val="00F25292"/>
    <w:rsid w:val="00F252C2"/>
    <w:rsid w:val="00F25420"/>
    <w:rsid w:val="00F256E4"/>
    <w:rsid w:val="00F259AC"/>
    <w:rsid w:val="00F25CB1"/>
    <w:rsid w:val="00F2652B"/>
    <w:rsid w:val="00F26681"/>
    <w:rsid w:val="00F27476"/>
    <w:rsid w:val="00F27A31"/>
    <w:rsid w:val="00F27ECB"/>
    <w:rsid w:val="00F30445"/>
    <w:rsid w:val="00F304D0"/>
    <w:rsid w:val="00F305B6"/>
    <w:rsid w:val="00F30822"/>
    <w:rsid w:val="00F31124"/>
    <w:rsid w:val="00F31442"/>
    <w:rsid w:val="00F3164B"/>
    <w:rsid w:val="00F31D26"/>
    <w:rsid w:val="00F321B2"/>
    <w:rsid w:val="00F3232F"/>
    <w:rsid w:val="00F32489"/>
    <w:rsid w:val="00F32CCD"/>
    <w:rsid w:val="00F32E16"/>
    <w:rsid w:val="00F33129"/>
    <w:rsid w:val="00F331DB"/>
    <w:rsid w:val="00F336FD"/>
    <w:rsid w:val="00F33AE5"/>
    <w:rsid w:val="00F33F5C"/>
    <w:rsid w:val="00F3403F"/>
    <w:rsid w:val="00F34117"/>
    <w:rsid w:val="00F34AC1"/>
    <w:rsid w:val="00F34CFC"/>
    <w:rsid w:val="00F351E2"/>
    <w:rsid w:val="00F3547E"/>
    <w:rsid w:val="00F3649E"/>
    <w:rsid w:val="00F36523"/>
    <w:rsid w:val="00F36F61"/>
    <w:rsid w:val="00F3707F"/>
    <w:rsid w:val="00F3719D"/>
    <w:rsid w:val="00F376B1"/>
    <w:rsid w:val="00F37EE6"/>
    <w:rsid w:val="00F40DDD"/>
    <w:rsid w:val="00F411C1"/>
    <w:rsid w:val="00F41683"/>
    <w:rsid w:val="00F41E72"/>
    <w:rsid w:val="00F420C8"/>
    <w:rsid w:val="00F4254A"/>
    <w:rsid w:val="00F42646"/>
    <w:rsid w:val="00F429AD"/>
    <w:rsid w:val="00F429BB"/>
    <w:rsid w:val="00F432B6"/>
    <w:rsid w:val="00F44326"/>
    <w:rsid w:val="00F443CE"/>
    <w:rsid w:val="00F4449B"/>
    <w:rsid w:val="00F44C36"/>
    <w:rsid w:val="00F44E6C"/>
    <w:rsid w:val="00F44EF9"/>
    <w:rsid w:val="00F45074"/>
    <w:rsid w:val="00F4522F"/>
    <w:rsid w:val="00F459D4"/>
    <w:rsid w:val="00F45A08"/>
    <w:rsid w:val="00F45BC1"/>
    <w:rsid w:val="00F45C22"/>
    <w:rsid w:val="00F45F44"/>
    <w:rsid w:val="00F465F5"/>
    <w:rsid w:val="00F468C3"/>
    <w:rsid w:val="00F4692D"/>
    <w:rsid w:val="00F47084"/>
    <w:rsid w:val="00F47159"/>
    <w:rsid w:val="00F47616"/>
    <w:rsid w:val="00F47673"/>
    <w:rsid w:val="00F4791F"/>
    <w:rsid w:val="00F47A3C"/>
    <w:rsid w:val="00F47FD5"/>
    <w:rsid w:val="00F50002"/>
    <w:rsid w:val="00F50024"/>
    <w:rsid w:val="00F500A0"/>
    <w:rsid w:val="00F5076A"/>
    <w:rsid w:val="00F5170B"/>
    <w:rsid w:val="00F51EF3"/>
    <w:rsid w:val="00F520B2"/>
    <w:rsid w:val="00F52101"/>
    <w:rsid w:val="00F52143"/>
    <w:rsid w:val="00F521DB"/>
    <w:rsid w:val="00F52EE4"/>
    <w:rsid w:val="00F5312D"/>
    <w:rsid w:val="00F5321C"/>
    <w:rsid w:val="00F532D5"/>
    <w:rsid w:val="00F5330C"/>
    <w:rsid w:val="00F53C97"/>
    <w:rsid w:val="00F54308"/>
    <w:rsid w:val="00F54650"/>
    <w:rsid w:val="00F54A67"/>
    <w:rsid w:val="00F54B48"/>
    <w:rsid w:val="00F5516E"/>
    <w:rsid w:val="00F5519D"/>
    <w:rsid w:val="00F552DD"/>
    <w:rsid w:val="00F55896"/>
    <w:rsid w:val="00F55AAB"/>
    <w:rsid w:val="00F55BB8"/>
    <w:rsid w:val="00F56335"/>
    <w:rsid w:val="00F56472"/>
    <w:rsid w:val="00F5766D"/>
    <w:rsid w:val="00F57B69"/>
    <w:rsid w:val="00F600CE"/>
    <w:rsid w:val="00F60818"/>
    <w:rsid w:val="00F60956"/>
    <w:rsid w:val="00F60D07"/>
    <w:rsid w:val="00F60FB6"/>
    <w:rsid w:val="00F612E1"/>
    <w:rsid w:val="00F6130A"/>
    <w:rsid w:val="00F61516"/>
    <w:rsid w:val="00F6187F"/>
    <w:rsid w:val="00F62135"/>
    <w:rsid w:val="00F621D0"/>
    <w:rsid w:val="00F6244B"/>
    <w:rsid w:val="00F62927"/>
    <w:rsid w:val="00F62B4D"/>
    <w:rsid w:val="00F62CF7"/>
    <w:rsid w:val="00F631E2"/>
    <w:rsid w:val="00F63B7F"/>
    <w:rsid w:val="00F64074"/>
    <w:rsid w:val="00F64438"/>
    <w:rsid w:val="00F646FA"/>
    <w:rsid w:val="00F64B77"/>
    <w:rsid w:val="00F64F64"/>
    <w:rsid w:val="00F653BE"/>
    <w:rsid w:val="00F654D7"/>
    <w:rsid w:val="00F65EEA"/>
    <w:rsid w:val="00F65F02"/>
    <w:rsid w:val="00F6621D"/>
    <w:rsid w:val="00F6658F"/>
    <w:rsid w:val="00F6696B"/>
    <w:rsid w:val="00F66ABA"/>
    <w:rsid w:val="00F66C52"/>
    <w:rsid w:val="00F66F2B"/>
    <w:rsid w:val="00F66F75"/>
    <w:rsid w:val="00F67495"/>
    <w:rsid w:val="00F67A51"/>
    <w:rsid w:val="00F67D7B"/>
    <w:rsid w:val="00F67EA1"/>
    <w:rsid w:val="00F70583"/>
    <w:rsid w:val="00F716AE"/>
    <w:rsid w:val="00F72493"/>
    <w:rsid w:val="00F72A31"/>
    <w:rsid w:val="00F72C36"/>
    <w:rsid w:val="00F734BE"/>
    <w:rsid w:val="00F741E1"/>
    <w:rsid w:val="00F74D27"/>
    <w:rsid w:val="00F751D2"/>
    <w:rsid w:val="00F753B9"/>
    <w:rsid w:val="00F7550B"/>
    <w:rsid w:val="00F756CE"/>
    <w:rsid w:val="00F75A31"/>
    <w:rsid w:val="00F75CA3"/>
    <w:rsid w:val="00F7683C"/>
    <w:rsid w:val="00F7691D"/>
    <w:rsid w:val="00F76B82"/>
    <w:rsid w:val="00F76F60"/>
    <w:rsid w:val="00F77004"/>
    <w:rsid w:val="00F771F6"/>
    <w:rsid w:val="00F773A8"/>
    <w:rsid w:val="00F77B4B"/>
    <w:rsid w:val="00F77FDB"/>
    <w:rsid w:val="00F800CC"/>
    <w:rsid w:val="00F80256"/>
    <w:rsid w:val="00F80282"/>
    <w:rsid w:val="00F80900"/>
    <w:rsid w:val="00F80920"/>
    <w:rsid w:val="00F80D57"/>
    <w:rsid w:val="00F810FE"/>
    <w:rsid w:val="00F8121C"/>
    <w:rsid w:val="00F81887"/>
    <w:rsid w:val="00F8192A"/>
    <w:rsid w:val="00F81ADE"/>
    <w:rsid w:val="00F81D7E"/>
    <w:rsid w:val="00F81DCC"/>
    <w:rsid w:val="00F8231B"/>
    <w:rsid w:val="00F82474"/>
    <w:rsid w:val="00F824B0"/>
    <w:rsid w:val="00F82588"/>
    <w:rsid w:val="00F82661"/>
    <w:rsid w:val="00F82692"/>
    <w:rsid w:val="00F82852"/>
    <w:rsid w:val="00F82E73"/>
    <w:rsid w:val="00F831DB"/>
    <w:rsid w:val="00F833EA"/>
    <w:rsid w:val="00F8340D"/>
    <w:rsid w:val="00F835AB"/>
    <w:rsid w:val="00F83852"/>
    <w:rsid w:val="00F83BE6"/>
    <w:rsid w:val="00F842D8"/>
    <w:rsid w:val="00F84304"/>
    <w:rsid w:val="00F84593"/>
    <w:rsid w:val="00F8480D"/>
    <w:rsid w:val="00F84ECC"/>
    <w:rsid w:val="00F84F71"/>
    <w:rsid w:val="00F852AF"/>
    <w:rsid w:val="00F854A6"/>
    <w:rsid w:val="00F85663"/>
    <w:rsid w:val="00F85EF5"/>
    <w:rsid w:val="00F86231"/>
    <w:rsid w:val="00F86994"/>
    <w:rsid w:val="00F86A69"/>
    <w:rsid w:val="00F86A9B"/>
    <w:rsid w:val="00F876A7"/>
    <w:rsid w:val="00F8799D"/>
    <w:rsid w:val="00F879CA"/>
    <w:rsid w:val="00F87D22"/>
    <w:rsid w:val="00F900C6"/>
    <w:rsid w:val="00F901DE"/>
    <w:rsid w:val="00F905E7"/>
    <w:rsid w:val="00F909A5"/>
    <w:rsid w:val="00F911E4"/>
    <w:rsid w:val="00F91384"/>
    <w:rsid w:val="00F9195B"/>
    <w:rsid w:val="00F91D81"/>
    <w:rsid w:val="00F920BE"/>
    <w:rsid w:val="00F921C9"/>
    <w:rsid w:val="00F922CD"/>
    <w:rsid w:val="00F92336"/>
    <w:rsid w:val="00F92337"/>
    <w:rsid w:val="00F930F0"/>
    <w:rsid w:val="00F9319E"/>
    <w:rsid w:val="00F933DA"/>
    <w:rsid w:val="00F93591"/>
    <w:rsid w:val="00F93AF6"/>
    <w:rsid w:val="00F9403B"/>
    <w:rsid w:val="00F9419F"/>
    <w:rsid w:val="00F941E9"/>
    <w:rsid w:val="00F94286"/>
    <w:rsid w:val="00F948C4"/>
    <w:rsid w:val="00F9496F"/>
    <w:rsid w:val="00F95119"/>
    <w:rsid w:val="00F95241"/>
    <w:rsid w:val="00F95837"/>
    <w:rsid w:val="00F95AD8"/>
    <w:rsid w:val="00F95DF3"/>
    <w:rsid w:val="00F95E91"/>
    <w:rsid w:val="00F9627B"/>
    <w:rsid w:val="00F97230"/>
    <w:rsid w:val="00F9744F"/>
    <w:rsid w:val="00F97839"/>
    <w:rsid w:val="00F97EBE"/>
    <w:rsid w:val="00FA0221"/>
    <w:rsid w:val="00FA1C7A"/>
    <w:rsid w:val="00FA1F6D"/>
    <w:rsid w:val="00FA21DA"/>
    <w:rsid w:val="00FA2767"/>
    <w:rsid w:val="00FA2DEA"/>
    <w:rsid w:val="00FA301A"/>
    <w:rsid w:val="00FA30E6"/>
    <w:rsid w:val="00FA3167"/>
    <w:rsid w:val="00FA38A3"/>
    <w:rsid w:val="00FA3FC4"/>
    <w:rsid w:val="00FA41B2"/>
    <w:rsid w:val="00FA43E5"/>
    <w:rsid w:val="00FA4598"/>
    <w:rsid w:val="00FA487B"/>
    <w:rsid w:val="00FA48AA"/>
    <w:rsid w:val="00FA4D2B"/>
    <w:rsid w:val="00FA4F60"/>
    <w:rsid w:val="00FA5481"/>
    <w:rsid w:val="00FA54BD"/>
    <w:rsid w:val="00FA599C"/>
    <w:rsid w:val="00FA59EC"/>
    <w:rsid w:val="00FA6755"/>
    <w:rsid w:val="00FA67DD"/>
    <w:rsid w:val="00FA7122"/>
    <w:rsid w:val="00FA7169"/>
    <w:rsid w:val="00FA7EBD"/>
    <w:rsid w:val="00FB0107"/>
    <w:rsid w:val="00FB09E5"/>
    <w:rsid w:val="00FB0B3A"/>
    <w:rsid w:val="00FB0DA7"/>
    <w:rsid w:val="00FB0E38"/>
    <w:rsid w:val="00FB0ED4"/>
    <w:rsid w:val="00FB10DB"/>
    <w:rsid w:val="00FB1931"/>
    <w:rsid w:val="00FB1A7C"/>
    <w:rsid w:val="00FB1AA0"/>
    <w:rsid w:val="00FB1C29"/>
    <w:rsid w:val="00FB1D47"/>
    <w:rsid w:val="00FB21D8"/>
    <w:rsid w:val="00FB266E"/>
    <w:rsid w:val="00FB2942"/>
    <w:rsid w:val="00FB294D"/>
    <w:rsid w:val="00FB3601"/>
    <w:rsid w:val="00FB471F"/>
    <w:rsid w:val="00FB4AB8"/>
    <w:rsid w:val="00FB4C40"/>
    <w:rsid w:val="00FB4C99"/>
    <w:rsid w:val="00FB4CA8"/>
    <w:rsid w:val="00FB55A5"/>
    <w:rsid w:val="00FB5611"/>
    <w:rsid w:val="00FB5CA6"/>
    <w:rsid w:val="00FB5E9D"/>
    <w:rsid w:val="00FB6680"/>
    <w:rsid w:val="00FB6788"/>
    <w:rsid w:val="00FB6912"/>
    <w:rsid w:val="00FB6FF8"/>
    <w:rsid w:val="00FB7277"/>
    <w:rsid w:val="00FB7989"/>
    <w:rsid w:val="00FB7C79"/>
    <w:rsid w:val="00FB7D37"/>
    <w:rsid w:val="00FC0419"/>
    <w:rsid w:val="00FC128D"/>
    <w:rsid w:val="00FC1723"/>
    <w:rsid w:val="00FC1B7A"/>
    <w:rsid w:val="00FC1E83"/>
    <w:rsid w:val="00FC2531"/>
    <w:rsid w:val="00FC2739"/>
    <w:rsid w:val="00FC2CBC"/>
    <w:rsid w:val="00FC2ED4"/>
    <w:rsid w:val="00FC2F20"/>
    <w:rsid w:val="00FC2F23"/>
    <w:rsid w:val="00FC3192"/>
    <w:rsid w:val="00FC31F4"/>
    <w:rsid w:val="00FC36A5"/>
    <w:rsid w:val="00FC50EE"/>
    <w:rsid w:val="00FC5242"/>
    <w:rsid w:val="00FC57D6"/>
    <w:rsid w:val="00FC5A81"/>
    <w:rsid w:val="00FC5BBB"/>
    <w:rsid w:val="00FC5FCF"/>
    <w:rsid w:val="00FC619C"/>
    <w:rsid w:val="00FC6381"/>
    <w:rsid w:val="00FC6F1E"/>
    <w:rsid w:val="00FC706B"/>
    <w:rsid w:val="00FC73E6"/>
    <w:rsid w:val="00FC7610"/>
    <w:rsid w:val="00FC7682"/>
    <w:rsid w:val="00FC789A"/>
    <w:rsid w:val="00FD025E"/>
    <w:rsid w:val="00FD0261"/>
    <w:rsid w:val="00FD02E5"/>
    <w:rsid w:val="00FD06B2"/>
    <w:rsid w:val="00FD0F5A"/>
    <w:rsid w:val="00FD123A"/>
    <w:rsid w:val="00FD1A23"/>
    <w:rsid w:val="00FD1AF9"/>
    <w:rsid w:val="00FD1BFF"/>
    <w:rsid w:val="00FD223E"/>
    <w:rsid w:val="00FD2DE5"/>
    <w:rsid w:val="00FD4516"/>
    <w:rsid w:val="00FD45E9"/>
    <w:rsid w:val="00FD4641"/>
    <w:rsid w:val="00FD523F"/>
    <w:rsid w:val="00FD5B51"/>
    <w:rsid w:val="00FD5DD7"/>
    <w:rsid w:val="00FD68C8"/>
    <w:rsid w:val="00FD6E9C"/>
    <w:rsid w:val="00FD7548"/>
    <w:rsid w:val="00FD7574"/>
    <w:rsid w:val="00FD75C1"/>
    <w:rsid w:val="00FD7879"/>
    <w:rsid w:val="00FD7A47"/>
    <w:rsid w:val="00FD7AF3"/>
    <w:rsid w:val="00FD7D8F"/>
    <w:rsid w:val="00FD7EA7"/>
    <w:rsid w:val="00FD7EEE"/>
    <w:rsid w:val="00FE0A73"/>
    <w:rsid w:val="00FE0EDB"/>
    <w:rsid w:val="00FE183E"/>
    <w:rsid w:val="00FE1907"/>
    <w:rsid w:val="00FE1CAA"/>
    <w:rsid w:val="00FE1D2C"/>
    <w:rsid w:val="00FE1EA3"/>
    <w:rsid w:val="00FE2799"/>
    <w:rsid w:val="00FE28EA"/>
    <w:rsid w:val="00FE2E0A"/>
    <w:rsid w:val="00FE3026"/>
    <w:rsid w:val="00FE43C4"/>
    <w:rsid w:val="00FE4E6F"/>
    <w:rsid w:val="00FE518B"/>
    <w:rsid w:val="00FE60B7"/>
    <w:rsid w:val="00FE60BB"/>
    <w:rsid w:val="00FE61A7"/>
    <w:rsid w:val="00FF00AD"/>
    <w:rsid w:val="00FF0A03"/>
    <w:rsid w:val="00FF0ECE"/>
    <w:rsid w:val="00FF1147"/>
    <w:rsid w:val="00FF1560"/>
    <w:rsid w:val="00FF1B26"/>
    <w:rsid w:val="00FF1D38"/>
    <w:rsid w:val="00FF1F98"/>
    <w:rsid w:val="00FF1FEE"/>
    <w:rsid w:val="00FF2183"/>
    <w:rsid w:val="00FF238A"/>
    <w:rsid w:val="00FF2DA9"/>
    <w:rsid w:val="00FF2EE7"/>
    <w:rsid w:val="00FF3299"/>
    <w:rsid w:val="00FF3543"/>
    <w:rsid w:val="00FF384D"/>
    <w:rsid w:val="00FF443E"/>
    <w:rsid w:val="00FF45B1"/>
    <w:rsid w:val="00FF4712"/>
    <w:rsid w:val="00FF5392"/>
    <w:rsid w:val="00FF5FE0"/>
    <w:rsid w:val="00FF6404"/>
    <w:rsid w:val="00FF6935"/>
    <w:rsid w:val="00FF693C"/>
    <w:rsid w:val="00FF6941"/>
    <w:rsid w:val="00FF6B31"/>
    <w:rsid w:val="00FF6BEE"/>
    <w:rsid w:val="00FF6C4D"/>
    <w:rsid w:val="00FF72C9"/>
    <w:rsid w:val="00FF73F9"/>
    <w:rsid w:val="00FF74E4"/>
    <w:rsid w:val="00FF7C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0B12368A"/>
  <w15:docId w15:val="{F16CA079-9DE5-46AF-8CF9-D69A5EDF3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2D66"/>
    <w:pPr>
      <w:overflowPunct w:val="0"/>
      <w:autoSpaceDE w:val="0"/>
      <w:autoSpaceDN w:val="0"/>
      <w:adjustRightInd w:val="0"/>
      <w:textAlignment w:val="baseline"/>
    </w:pPr>
    <w:rPr>
      <w:rFonts w:ascii="Calibri" w:hAnsi="Calibri"/>
      <w:sz w:val="22"/>
    </w:rPr>
  </w:style>
  <w:style w:type="paragraph" w:styleId="Heading1">
    <w:name w:val="heading 1"/>
    <w:basedOn w:val="Normal"/>
    <w:next w:val="Normal"/>
    <w:qFormat/>
    <w:rsid w:val="00F77FDB"/>
    <w:pPr>
      <w:tabs>
        <w:tab w:val="left" w:pos="360"/>
      </w:tabs>
      <w:outlineLvl w:val="0"/>
    </w:pPr>
    <w:rPr>
      <w:rFonts w:asciiTheme="minorHAnsi" w:hAnsiTheme="minorHAnsi"/>
      <w:b/>
      <w:sz w:val="28"/>
      <w:szCs w:val="28"/>
    </w:rPr>
  </w:style>
  <w:style w:type="paragraph" w:styleId="Heading2">
    <w:name w:val="heading 2"/>
    <w:basedOn w:val="Normal"/>
    <w:next w:val="Normal"/>
    <w:link w:val="Heading2Char"/>
    <w:qFormat/>
    <w:rsid w:val="004476D6"/>
    <w:pPr>
      <w:numPr>
        <w:numId w:val="15"/>
      </w:numPr>
      <w:tabs>
        <w:tab w:val="left" w:pos="360"/>
      </w:tabs>
      <w:spacing w:before="240" w:after="120"/>
      <w:ind w:left="360"/>
      <w:outlineLvl w:val="1"/>
    </w:pPr>
    <w:rPr>
      <w:rFonts w:asciiTheme="minorHAnsi" w:hAnsiTheme="minorHAnsi"/>
      <w:b/>
      <w:u w:val="single"/>
    </w:rPr>
  </w:style>
  <w:style w:type="paragraph" w:styleId="Heading3">
    <w:name w:val="heading 3"/>
    <w:basedOn w:val="Normal"/>
    <w:next w:val="Normal"/>
    <w:qFormat/>
    <w:rsid w:val="0071414F"/>
    <w:pPr>
      <w:keepNext/>
      <w:numPr>
        <w:ilvl w:val="2"/>
        <w:numId w:val="1"/>
      </w:numPr>
      <w:spacing w:before="240" w:after="60"/>
      <w:ind w:left="2160"/>
      <w:outlineLvl w:val="2"/>
    </w:pPr>
  </w:style>
  <w:style w:type="paragraph" w:styleId="Heading4">
    <w:name w:val="heading 4"/>
    <w:basedOn w:val="Normal"/>
    <w:next w:val="Normal"/>
    <w:qFormat/>
    <w:rsid w:val="0071414F"/>
    <w:pPr>
      <w:keepNext/>
      <w:numPr>
        <w:ilvl w:val="3"/>
        <w:numId w:val="1"/>
      </w:numPr>
      <w:spacing w:before="240" w:after="60"/>
      <w:outlineLvl w:val="3"/>
    </w:pPr>
    <w:rPr>
      <w:b/>
    </w:rPr>
  </w:style>
  <w:style w:type="paragraph" w:styleId="Heading5">
    <w:name w:val="heading 5"/>
    <w:basedOn w:val="Normal"/>
    <w:next w:val="Normal"/>
    <w:qFormat/>
    <w:rsid w:val="0071414F"/>
    <w:pPr>
      <w:numPr>
        <w:ilvl w:val="4"/>
        <w:numId w:val="1"/>
      </w:numPr>
      <w:spacing w:before="240" w:after="60"/>
      <w:outlineLvl w:val="4"/>
    </w:pPr>
  </w:style>
  <w:style w:type="paragraph" w:styleId="Heading6">
    <w:name w:val="heading 6"/>
    <w:basedOn w:val="Normal"/>
    <w:next w:val="Normal"/>
    <w:link w:val="Heading6Char"/>
    <w:qFormat/>
    <w:rsid w:val="0071414F"/>
    <w:pPr>
      <w:numPr>
        <w:ilvl w:val="5"/>
        <w:numId w:val="1"/>
      </w:numPr>
      <w:spacing w:before="240" w:after="60"/>
      <w:outlineLvl w:val="5"/>
    </w:pPr>
    <w:rPr>
      <w:rFonts w:ascii="Times New Roman" w:hAnsi="Times New Roman"/>
      <w:i/>
    </w:rPr>
  </w:style>
  <w:style w:type="paragraph" w:styleId="Heading7">
    <w:name w:val="heading 7"/>
    <w:basedOn w:val="Normal"/>
    <w:next w:val="Normal"/>
    <w:qFormat/>
    <w:rsid w:val="0071414F"/>
    <w:pPr>
      <w:numPr>
        <w:ilvl w:val="6"/>
        <w:numId w:val="1"/>
      </w:numPr>
      <w:spacing w:before="240" w:after="60"/>
      <w:outlineLvl w:val="6"/>
    </w:pPr>
    <w:rPr>
      <w:sz w:val="20"/>
    </w:rPr>
  </w:style>
  <w:style w:type="paragraph" w:styleId="Heading8">
    <w:name w:val="heading 8"/>
    <w:basedOn w:val="Normal"/>
    <w:next w:val="Normal"/>
    <w:qFormat/>
    <w:rsid w:val="0071414F"/>
    <w:pPr>
      <w:numPr>
        <w:ilvl w:val="7"/>
        <w:numId w:val="1"/>
      </w:numPr>
      <w:spacing w:before="240" w:after="60"/>
      <w:outlineLvl w:val="7"/>
    </w:pPr>
    <w:rPr>
      <w:i/>
      <w:sz w:val="20"/>
    </w:rPr>
  </w:style>
  <w:style w:type="paragraph" w:styleId="Heading9">
    <w:name w:val="heading 9"/>
    <w:basedOn w:val="Normal"/>
    <w:next w:val="Normal"/>
    <w:qFormat/>
    <w:rsid w:val="0071414F"/>
    <w:pPr>
      <w:numPr>
        <w:ilvl w:val="8"/>
        <w:numId w:val="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1414F"/>
    <w:pPr>
      <w:tabs>
        <w:tab w:val="center" w:pos="4320"/>
        <w:tab w:val="right" w:pos="8640"/>
      </w:tabs>
    </w:pPr>
  </w:style>
  <w:style w:type="paragraph" w:styleId="Footer">
    <w:name w:val="footer"/>
    <w:basedOn w:val="Normal"/>
    <w:link w:val="FooterChar"/>
    <w:semiHidden/>
    <w:rsid w:val="0071414F"/>
    <w:pPr>
      <w:tabs>
        <w:tab w:val="center" w:pos="4320"/>
        <w:tab w:val="right" w:pos="8640"/>
      </w:tabs>
    </w:pPr>
  </w:style>
  <w:style w:type="character" w:styleId="PageNumber">
    <w:name w:val="page number"/>
    <w:basedOn w:val="DefaultParagraphFont"/>
    <w:semiHidden/>
    <w:rsid w:val="0071414F"/>
  </w:style>
  <w:style w:type="paragraph" w:styleId="BodyText2">
    <w:name w:val="Body Text 2"/>
    <w:basedOn w:val="Normal"/>
    <w:semiHidden/>
    <w:rsid w:val="0071414F"/>
    <w:pPr>
      <w:ind w:left="720"/>
    </w:pPr>
    <w:rPr>
      <w:b/>
    </w:rPr>
  </w:style>
  <w:style w:type="paragraph" w:styleId="BodyTextIndent2">
    <w:name w:val="Body Text Indent 2"/>
    <w:basedOn w:val="Normal"/>
    <w:semiHidden/>
    <w:rsid w:val="0071414F"/>
    <w:pPr>
      <w:tabs>
        <w:tab w:val="left" w:pos="-720"/>
        <w:tab w:val="left" w:pos="0"/>
        <w:tab w:val="left" w:pos="720"/>
        <w:tab w:val="left" w:pos="1152"/>
        <w:tab w:val="left" w:pos="1728"/>
        <w:tab w:val="left" w:pos="2304"/>
        <w:tab w:val="left" w:pos="2880"/>
        <w:tab w:val="left" w:pos="14400"/>
      </w:tabs>
      <w:suppressAutoHyphens/>
      <w:ind w:left="720" w:hanging="576"/>
    </w:pPr>
    <w:rPr>
      <w:rFonts w:ascii="Univers (W1)" w:hAnsi="Univers (W1)"/>
    </w:rPr>
  </w:style>
  <w:style w:type="paragraph" w:styleId="EndnoteText">
    <w:name w:val="endnote text"/>
    <w:basedOn w:val="Normal"/>
    <w:link w:val="EndnoteTextChar"/>
    <w:semiHidden/>
    <w:rsid w:val="0071414F"/>
    <w:pPr>
      <w:widowControl w:val="0"/>
    </w:pPr>
  </w:style>
  <w:style w:type="paragraph" w:styleId="BodyText">
    <w:name w:val="Body Text"/>
    <w:basedOn w:val="Normal"/>
    <w:link w:val="BodyTextChar"/>
    <w:semiHidden/>
    <w:rsid w:val="0071414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style>
  <w:style w:type="paragraph" w:styleId="BodyTextIndent3">
    <w:name w:val="Body Text Indent 3"/>
    <w:basedOn w:val="Normal"/>
    <w:semiHidden/>
    <w:rsid w:val="0071414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10"/>
      </w:tabs>
      <w:ind w:left="1440"/>
    </w:pPr>
    <w:rPr>
      <w:b/>
    </w:rPr>
  </w:style>
  <w:style w:type="paragraph" w:styleId="BodyText3">
    <w:name w:val="Body Text 3"/>
    <w:basedOn w:val="Normal"/>
    <w:semiHidden/>
    <w:rsid w:val="0071414F"/>
    <w:pPr>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Pr>
      <w:i/>
    </w:rPr>
  </w:style>
  <w:style w:type="paragraph" w:styleId="BodyTextIndent">
    <w:name w:val="Body Text Indent"/>
    <w:basedOn w:val="Normal"/>
    <w:link w:val="BodyTextIndentChar"/>
    <w:semiHidden/>
    <w:rsid w:val="0071414F"/>
    <w:pPr>
      <w:tabs>
        <w:tab w:val="left" w:pos="0"/>
        <w:tab w:val="left" w:pos="480"/>
        <w:tab w:val="left" w:pos="810"/>
        <w:tab w:val="left" w:pos="1440"/>
        <w:tab w:val="left" w:pos="1920"/>
        <w:tab w:val="left" w:pos="14400"/>
      </w:tabs>
      <w:suppressAutoHyphens/>
      <w:spacing w:line="223" w:lineRule="auto"/>
      <w:ind w:left="810" w:hanging="810"/>
    </w:pPr>
    <w:rPr>
      <w:b/>
    </w:rPr>
  </w:style>
  <w:style w:type="character" w:customStyle="1" w:styleId="HeaderChar">
    <w:name w:val="Header Char"/>
    <w:basedOn w:val="DefaultParagraphFont"/>
    <w:link w:val="Header"/>
    <w:uiPriority w:val="99"/>
    <w:rsid w:val="008713C1"/>
    <w:rPr>
      <w:rFonts w:ascii="Arial" w:hAnsi="Arial"/>
      <w:sz w:val="24"/>
    </w:rPr>
  </w:style>
  <w:style w:type="paragraph" w:styleId="BalloonText">
    <w:name w:val="Balloon Text"/>
    <w:basedOn w:val="Normal"/>
    <w:link w:val="BalloonTextChar"/>
    <w:uiPriority w:val="99"/>
    <w:semiHidden/>
    <w:unhideWhenUsed/>
    <w:rsid w:val="00BC612E"/>
    <w:rPr>
      <w:rFonts w:ascii="Tahoma" w:hAnsi="Tahoma" w:cs="Tahoma"/>
      <w:sz w:val="16"/>
      <w:szCs w:val="16"/>
    </w:rPr>
  </w:style>
  <w:style w:type="character" w:customStyle="1" w:styleId="BalloonTextChar">
    <w:name w:val="Balloon Text Char"/>
    <w:basedOn w:val="DefaultParagraphFont"/>
    <w:link w:val="BalloonText"/>
    <w:uiPriority w:val="99"/>
    <w:semiHidden/>
    <w:rsid w:val="00BC612E"/>
    <w:rPr>
      <w:rFonts w:ascii="Tahoma" w:hAnsi="Tahoma" w:cs="Tahoma"/>
      <w:sz w:val="16"/>
      <w:szCs w:val="16"/>
    </w:rPr>
  </w:style>
  <w:style w:type="character" w:customStyle="1" w:styleId="FooterChar">
    <w:name w:val="Footer Char"/>
    <w:basedOn w:val="DefaultParagraphFont"/>
    <w:link w:val="Footer"/>
    <w:semiHidden/>
    <w:rsid w:val="00BC612E"/>
    <w:rPr>
      <w:rFonts w:ascii="Arial" w:hAnsi="Arial"/>
      <w:sz w:val="24"/>
    </w:rPr>
  </w:style>
  <w:style w:type="paragraph" w:styleId="ListParagraph">
    <w:name w:val="List Paragraph"/>
    <w:basedOn w:val="Normal"/>
    <w:uiPriority w:val="34"/>
    <w:qFormat/>
    <w:rsid w:val="000B46F6"/>
    <w:pPr>
      <w:ind w:left="720"/>
      <w:contextualSpacing/>
    </w:pPr>
  </w:style>
  <w:style w:type="character" w:styleId="Hyperlink">
    <w:name w:val="Hyperlink"/>
    <w:basedOn w:val="DefaultParagraphFont"/>
    <w:uiPriority w:val="99"/>
    <w:unhideWhenUsed/>
    <w:rsid w:val="00AF0AFC"/>
    <w:rPr>
      <w:color w:val="0000FF" w:themeColor="hyperlink"/>
      <w:u w:val="single"/>
    </w:rPr>
  </w:style>
  <w:style w:type="character" w:styleId="FollowedHyperlink">
    <w:name w:val="FollowedHyperlink"/>
    <w:basedOn w:val="DefaultParagraphFont"/>
    <w:uiPriority w:val="99"/>
    <w:semiHidden/>
    <w:unhideWhenUsed/>
    <w:rsid w:val="00581F23"/>
    <w:rPr>
      <w:color w:val="800080" w:themeColor="followedHyperlink"/>
      <w:u w:val="single"/>
    </w:rPr>
  </w:style>
  <w:style w:type="paragraph" w:styleId="TOCHeading">
    <w:name w:val="TOC Heading"/>
    <w:basedOn w:val="Heading1"/>
    <w:next w:val="Normal"/>
    <w:uiPriority w:val="39"/>
    <w:unhideWhenUsed/>
    <w:qFormat/>
    <w:rsid w:val="0047068B"/>
    <w:pPr>
      <w:keepLines/>
      <w:overflowPunct/>
      <w:autoSpaceDE/>
      <w:autoSpaceDN/>
      <w:adjustRightInd/>
      <w:spacing w:before="480" w:line="276" w:lineRule="auto"/>
      <w:textAlignment w:val="auto"/>
      <w:outlineLvl w:val="9"/>
    </w:pPr>
    <w:rPr>
      <w:rFonts w:asciiTheme="majorHAnsi" w:eastAsiaTheme="majorEastAsia" w:hAnsiTheme="majorHAnsi" w:cstheme="majorBidi"/>
      <w:bCs/>
      <w:color w:val="365F91" w:themeColor="accent1" w:themeShade="BF"/>
    </w:rPr>
  </w:style>
  <w:style w:type="paragraph" w:styleId="TOC1">
    <w:name w:val="toc 1"/>
    <w:basedOn w:val="Normal"/>
    <w:next w:val="Normal"/>
    <w:autoRedefine/>
    <w:uiPriority w:val="39"/>
    <w:unhideWhenUsed/>
    <w:rsid w:val="005B19F2"/>
    <w:pPr>
      <w:tabs>
        <w:tab w:val="left" w:pos="540"/>
        <w:tab w:val="right" w:leader="dot" w:pos="9360"/>
      </w:tabs>
      <w:spacing w:after="120"/>
    </w:pPr>
  </w:style>
  <w:style w:type="paragraph" w:styleId="TOC2">
    <w:name w:val="toc 2"/>
    <w:basedOn w:val="Normal"/>
    <w:next w:val="Normal"/>
    <w:autoRedefine/>
    <w:uiPriority w:val="39"/>
    <w:unhideWhenUsed/>
    <w:rsid w:val="005B19F2"/>
    <w:pPr>
      <w:tabs>
        <w:tab w:val="left" w:pos="900"/>
        <w:tab w:val="right" w:leader="dot" w:pos="9360"/>
      </w:tabs>
      <w:spacing w:after="120"/>
      <w:ind w:left="547"/>
      <w:contextualSpacing/>
    </w:pPr>
  </w:style>
  <w:style w:type="table" w:styleId="TableGrid">
    <w:name w:val="Table Grid"/>
    <w:basedOn w:val="TableNormal"/>
    <w:uiPriority w:val="59"/>
    <w:rsid w:val="003F09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D668F7"/>
    <w:rPr>
      <w:i/>
      <w:iCs/>
    </w:rPr>
  </w:style>
  <w:style w:type="character" w:styleId="CommentReference">
    <w:name w:val="annotation reference"/>
    <w:basedOn w:val="DefaultParagraphFont"/>
    <w:uiPriority w:val="99"/>
    <w:semiHidden/>
    <w:unhideWhenUsed/>
    <w:rsid w:val="00E118E0"/>
    <w:rPr>
      <w:sz w:val="16"/>
      <w:szCs w:val="16"/>
    </w:rPr>
  </w:style>
  <w:style w:type="paragraph" w:styleId="CommentText">
    <w:name w:val="annotation text"/>
    <w:basedOn w:val="Normal"/>
    <w:link w:val="CommentTextChar"/>
    <w:uiPriority w:val="99"/>
    <w:semiHidden/>
    <w:unhideWhenUsed/>
    <w:rsid w:val="00E118E0"/>
    <w:rPr>
      <w:sz w:val="20"/>
    </w:rPr>
  </w:style>
  <w:style w:type="character" w:customStyle="1" w:styleId="CommentTextChar">
    <w:name w:val="Comment Text Char"/>
    <w:basedOn w:val="DefaultParagraphFont"/>
    <w:link w:val="CommentText"/>
    <w:uiPriority w:val="99"/>
    <w:semiHidden/>
    <w:rsid w:val="00E118E0"/>
    <w:rPr>
      <w:rFonts w:ascii="Arial" w:hAnsi="Arial"/>
    </w:rPr>
  </w:style>
  <w:style w:type="paragraph" w:styleId="CommentSubject">
    <w:name w:val="annotation subject"/>
    <w:basedOn w:val="CommentText"/>
    <w:next w:val="CommentText"/>
    <w:link w:val="CommentSubjectChar"/>
    <w:uiPriority w:val="99"/>
    <w:semiHidden/>
    <w:unhideWhenUsed/>
    <w:rsid w:val="00E118E0"/>
    <w:rPr>
      <w:b/>
      <w:bCs/>
    </w:rPr>
  </w:style>
  <w:style w:type="character" w:customStyle="1" w:styleId="CommentSubjectChar">
    <w:name w:val="Comment Subject Char"/>
    <w:basedOn w:val="CommentTextChar"/>
    <w:link w:val="CommentSubject"/>
    <w:uiPriority w:val="99"/>
    <w:semiHidden/>
    <w:rsid w:val="00E118E0"/>
    <w:rPr>
      <w:rFonts w:ascii="Arial" w:hAnsi="Arial"/>
      <w:b/>
      <w:bCs/>
    </w:rPr>
  </w:style>
  <w:style w:type="paragraph" w:styleId="TOC3">
    <w:name w:val="toc 3"/>
    <w:basedOn w:val="Normal"/>
    <w:next w:val="Normal"/>
    <w:autoRedefine/>
    <w:uiPriority w:val="39"/>
    <w:unhideWhenUsed/>
    <w:rsid w:val="00DE365F"/>
    <w:pPr>
      <w:spacing w:after="100"/>
      <w:ind w:left="480"/>
    </w:pPr>
  </w:style>
  <w:style w:type="character" w:styleId="Strong">
    <w:name w:val="Strong"/>
    <w:basedOn w:val="DefaultParagraphFont"/>
    <w:uiPriority w:val="22"/>
    <w:qFormat/>
    <w:rsid w:val="002760E5"/>
    <w:rPr>
      <w:rFonts w:asciiTheme="minorHAnsi" w:hAnsiTheme="minorHAnsi"/>
      <w:b/>
      <w:bCs/>
      <w:sz w:val="22"/>
    </w:rPr>
  </w:style>
  <w:style w:type="paragraph" w:styleId="Quote">
    <w:name w:val="Quote"/>
    <w:aliases w:val="Response"/>
    <w:basedOn w:val="Normal"/>
    <w:next w:val="Normal"/>
    <w:link w:val="QuoteChar"/>
    <w:uiPriority w:val="29"/>
    <w:qFormat/>
    <w:rsid w:val="00BF3539"/>
    <w:pPr>
      <w:spacing w:before="240"/>
    </w:pPr>
    <w:rPr>
      <w:rFonts w:asciiTheme="minorHAnsi" w:hAnsiTheme="minorHAnsi"/>
      <w:iCs/>
      <w:color w:val="000000" w:themeColor="text1"/>
    </w:rPr>
  </w:style>
  <w:style w:type="character" w:customStyle="1" w:styleId="QuoteChar">
    <w:name w:val="Quote Char"/>
    <w:aliases w:val="Response Char"/>
    <w:basedOn w:val="DefaultParagraphFont"/>
    <w:link w:val="Quote"/>
    <w:uiPriority w:val="29"/>
    <w:rsid w:val="00BF3539"/>
    <w:rPr>
      <w:rFonts w:asciiTheme="minorHAnsi" w:hAnsiTheme="minorHAnsi"/>
      <w:iCs/>
      <w:color w:val="000000" w:themeColor="text1"/>
      <w:sz w:val="24"/>
    </w:rPr>
  </w:style>
  <w:style w:type="paragraph" w:customStyle="1" w:styleId="Staff">
    <w:name w:val="Staff"/>
    <w:basedOn w:val="Normal"/>
    <w:link w:val="StaffChar"/>
    <w:qFormat/>
    <w:rsid w:val="00731CB7"/>
    <w:pPr>
      <w:spacing w:after="240"/>
    </w:pPr>
    <w:rPr>
      <w:rFonts w:asciiTheme="minorHAnsi" w:hAnsiTheme="minorHAnsi" w:cs="Arial"/>
      <w:i/>
      <w:szCs w:val="24"/>
    </w:rPr>
  </w:style>
  <w:style w:type="character" w:customStyle="1" w:styleId="StaffChar">
    <w:name w:val="Staff Char"/>
    <w:basedOn w:val="DefaultParagraphFont"/>
    <w:link w:val="Staff"/>
    <w:rsid w:val="00731CB7"/>
    <w:rPr>
      <w:rFonts w:asciiTheme="minorHAnsi" w:hAnsiTheme="minorHAnsi" w:cs="Arial"/>
      <w:i/>
      <w:sz w:val="22"/>
      <w:szCs w:val="24"/>
    </w:rPr>
  </w:style>
  <w:style w:type="character" w:customStyle="1" w:styleId="EndnoteTextChar">
    <w:name w:val="Endnote Text Char"/>
    <w:basedOn w:val="DefaultParagraphFont"/>
    <w:link w:val="EndnoteText"/>
    <w:semiHidden/>
    <w:rsid w:val="001140F1"/>
    <w:rPr>
      <w:rFonts w:ascii="Arial" w:hAnsi="Arial"/>
      <w:sz w:val="24"/>
    </w:rPr>
  </w:style>
  <w:style w:type="paragraph" w:styleId="NoSpacing">
    <w:name w:val="No Spacing"/>
    <w:uiPriority w:val="1"/>
    <w:qFormat/>
    <w:rsid w:val="0093246F"/>
    <w:pPr>
      <w:autoSpaceDE w:val="0"/>
      <w:autoSpaceDN w:val="0"/>
      <w:adjustRightInd w:val="0"/>
      <w:jc w:val="both"/>
    </w:pPr>
    <w:rPr>
      <w:rFonts w:asciiTheme="minorHAnsi" w:hAnsiTheme="minorHAnsi" w:cs="Arial"/>
      <w:bCs/>
      <w:sz w:val="22"/>
      <w:szCs w:val="22"/>
    </w:rPr>
  </w:style>
  <w:style w:type="character" w:customStyle="1" w:styleId="Heading2Char">
    <w:name w:val="Heading 2 Char"/>
    <w:basedOn w:val="DefaultParagraphFont"/>
    <w:link w:val="Heading2"/>
    <w:rsid w:val="004476D6"/>
    <w:rPr>
      <w:rFonts w:asciiTheme="minorHAnsi" w:hAnsiTheme="minorHAnsi"/>
      <w:b/>
      <w:sz w:val="22"/>
      <w:u w:val="single"/>
    </w:rPr>
  </w:style>
  <w:style w:type="paragraph" w:styleId="NormalWeb">
    <w:name w:val="Normal (Web)"/>
    <w:basedOn w:val="Normal"/>
    <w:uiPriority w:val="99"/>
    <w:unhideWhenUsed/>
    <w:rsid w:val="003249C9"/>
    <w:pPr>
      <w:overflowPunct/>
      <w:autoSpaceDE/>
      <w:autoSpaceDN/>
      <w:adjustRightInd/>
      <w:spacing w:before="100" w:beforeAutospacing="1" w:after="100" w:afterAutospacing="1"/>
      <w:textAlignment w:val="auto"/>
    </w:pPr>
    <w:rPr>
      <w:rFonts w:ascii="Times New Roman" w:hAnsi="Times New Roman"/>
      <w:szCs w:val="24"/>
    </w:rPr>
  </w:style>
  <w:style w:type="paragraph" w:customStyle="1" w:styleId="rteindent1">
    <w:name w:val="rteindent1"/>
    <w:basedOn w:val="Normal"/>
    <w:rsid w:val="003249C9"/>
    <w:pPr>
      <w:overflowPunct/>
      <w:autoSpaceDE/>
      <w:autoSpaceDN/>
      <w:adjustRightInd/>
      <w:spacing w:before="100" w:beforeAutospacing="1" w:after="100" w:afterAutospacing="1"/>
      <w:textAlignment w:val="auto"/>
    </w:pPr>
    <w:rPr>
      <w:rFonts w:ascii="Times New Roman" w:hAnsi="Times New Roman"/>
      <w:szCs w:val="24"/>
    </w:rPr>
  </w:style>
  <w:style w:type="paragraph" w:customStyle="1" w:styleId="rteindent2">
    <w:name w:val="rteindent2"/>
    <w:basedOn w:val="Normal"/>
    <w:rsid w:val="003249C9"/>
    <w:pPr>
      <w:overflowPunct/>
      <w:autoSpaceDE/>
      <w:autoSpaceDN/>
      <w:adjustRightInd/>
      <w:spacing w:before="100" w:beforeAutospacing="1" w:after="100" w:afterAutospacing="1"/>
      <w:textAlignment w:val="auto"/>
    </w:pPr>
    <w:rPr>
      <w:rFonts w:ascii="Times New Roman" w:hAnsi="Times New Roman"/>
      <w:szCs w:val="24"/>
    </w:rPr>
  </w:style>
  <w:style w:type="table" w:styleId="GridTable3">
    <w:name w:val="Grid Table 3"/>
    <w:basedOn w:val="TableNormal"/>
    <w:uiPriority w:val="48"/>
    <w:rsid w:val="00EC641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PlainTable5">
    <w:name w:val="Plain Table 5"/>
    <w:basedOn w:val="TableNormal"/>
    <w:uiPriority w:val="45"/>
    <w:rsid w:val="00EC641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rteindent3">
    <w:name w:val="rteindent3"/>
    <w:basedOn w:val="Normal"/>
    <w:rsid w:val="00AF24E6"/>
    <w:pPr>
      <w:overflowPunct/>
      <w:autoSpaceDE/>
      <w:autoSpaceDN/>
      <w:adjustRightInd/>
      <w:spacing w:before="100" w:beforeAutospacing="1" w:after="100" w:afterAutospacing="1"/>
      <w:textAlignment w:val="auto"/>
    </w:pPr>
    <w:rPr>
      <w:rFonts w:ascii="Times New Roman" w:hAnsi="Times New Roman"/>
      <w:szCs w:val="24"/>
    </w:rPr>
  </w:style>
  <w:style w:type="table" w:styleId="TableGridLight">
    <w:name w:val="Grid Table Light"/>
    <w:basedOn w:val="TableNormal"/>
    <w:uiPriority w:val="40"/>
    <w:rsid w:val="001E4F8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qFormat/>
    <w:rsid w:val="007F1737"/>
    <w:pPr>
      <w:autoSpaceDE w:val="0"/>
      <w:autoSpaceDN w:val="0"/>
      <w:adjustRightInd w:val="0"/>
    </w:pPr>
    <w:rPr>
      <w:rFonts w:ascii="Arial" w:hAnsi="Arial" w:cs="Arial"/>
      <w:color w:val="000000"/>
      <w:sz w:val="24"/>
      <w:szCs w:val="24"/>
    </w:rPr>
  </w:style>
  <w:style w:type="paragraph" w:styleId="Bibliography">
    <w:name w:val="Bibliography"/>
    <w:basedOn w:val="Normal"/>
    <w:next w:val="Normal"/>
    <w:uiPriority w:val="37"/>
    <w:semiHidden/>
    <w:unhideWhenUsed/>
    <w:rsid w:val="00450EFF"/>
  </w:style>
  <w:style w:type="paragraph" w:styleId="BlockText">
    <w:name w:val="Block Text"/>
    <w:basedOn w:val="Normal"/>
    <w:uiPriority w:val="99"/>
    <w:semiHidden/>
    <w:unhideWhenUsed/>
    <w:rsid w:val="00450EFF"/>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FirstIndent">
    <w:name w:val="Body Text First Indent"/>
    <w:basedOn w:val="BodyText"/>
    <w:link w:val="BodyTextFirstIndentChar"/>
    <w:uiPriority w:val="99"/>
    <w:semiHidden/>
    <w:unhideWhenUsed/>
    <w:rsid w:val="00450EFF"/>
    <w:pPr>
      <w:widowControl/>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firstLine="360"/>
    </w:pPr>
  </w:style>
  <w:style w:type="character" w:customStyle="1" w:styleId="BodyTextChar">
    <w:name w:val="Body Text Char"/>
    <w:basedOn w:val="DefaultParagraphFont"/>
    <w:link w:val="BodyText"/>
    <w:semiHidden/>
    <w:rsid w:val="00450EFF"/>
    <w:rPr>
      <w:rFonts w:ascii="Arial" w:hAnsi="Arial"/>
      <w:sz w:val="24"/>
    </w:rPr>
  </w:style>
  <w:style w:type="character" w:customStyle="1" w:styleId="BodyTextFirstIndentChar">
    <w:name w:val="Body Text First Indent Char"/>
    <w:basedOn w:val="BodyTextChar"/>
    <w:link w:val="BodyTextFirstIndent"/>
    <w:uiPriority w:val="99"/>
    <w:semiHidden/>
    <w:rsid w:val="00450EFF"/>
    <w:rPr>
      <w:rFonts w:ascii="Arial" w:hAnsi="Arial"/>
      <w:sz w:val="24"/>
    </w:rPr>
  </w:style>
  <w:style w:type="paragraph" w:styleId="BodyTextFirstIndent2">
    <w:name w:val="Body Text First Indent 2"/>
    <w:basedOn w:val="BodyTextIndent"/>
    <w:link w:val="BodyTextFirstIndent2Char"/>
    <w:uiPriority w:val="99"/>
    <w:semiHidden/>
    <w:unhideWhenUsed/>
    <w:rsid w:val="00450EFF"/>
    <w:pPr>
      <w:tabs>
        <w:tab w:val="clear" w:pos="0"/>
        <w:tab w:val="clear" w:pos="480"/>
        <w:tab w:val="clear" w:pos="810"/>
        <w:tab w:val="clear" w:pos="1440"/>
        <w:tab w:val="clear" w:pos="1920"/>
        <w:tab w:val="clear" w:pos="14400"/>
      </w:tabs>
      <w:suppressAutoHyphens w:val="0"/>
      <w:spacing w:line="240" w:lineRule="auto"/>
      <w:ind w:left="360" w:firstLine="360"/>
    </w:pPr>
    <w:rPr>
      <w:b w:val="0"/>
    </w:rPr>
  </w:style>
  <w:style w:type="character" w:customStyle="1" w:styleId="BodyTextIndentChar">
    <w:name w:val="Body Text Indent Char"/>
    <w:basedOn w:val="DefaultParagraphFont"/>
    <w:link w:val="BodyTextIndent"/>
    <w:semiHidden/>
    <w:rsid w:val="00450EFF"/>
    <w:rPr>
      <w:rFonts w:ascii="Arial" w:hAnsi="Arial"/>
      <w:b/>
      <w:sz w:val="24"/>
    </w:rPr>
  </w:style>
  <w:style w:type="character" w:customStyle="1" w:styleId="BodyTextFirstIndent2Char">
    <w:name w:val="Body Text First Indent 2 Char"/>
    <w:basedOn w:val="BodyTextIndentChar"/>
    <w:link w:val="BodyTextFirstIndent2"/>
    <w:uiPriority w:val="99"/>
    <w:semiHidden/>
    <w:rsid w:val="00450EFF"/>
    <w:rPr>
      <w:rFonts w:ascii="Arial" w:hAnsi="Arial"/>
      <w:b w:val="0"/>
      <w:sz w:val="24"/>
    </w:rPr>
  </w:style>
  <w:style w:type="paragraph" w:styleId="Caption">
    <w:name w:val="caption"/>
    <w:basedOn w:val="Normal"/>
    <w:next w:val="Normal"/>
    <w:uiPriority w:val="35"/>
    <w:semiHidden/>
    <w:unhideWhenUsed/>
    <w:qFormat/>
    <w:rsid w:val="00450EFF"/>
    <w:pPr>
      <w:spacing w:after="200"/>
    </w:pPr>
    <w:rPr>
      <w:i/>
      <w:iCs/>
      <w:color w:val="1F497D" w:themeColor="text2"/>
      <w:sz w:val="18"/>
      <w:szCs w:val="18"/>
    </w:rPr>
  </w:style>
  <w:style w:type="paragraph" w:styleId="Closing">
    <w:name w:val="Closing"/>
    <w:basedOn w:val="Normal"/>
    <w:link w:val="ClosingChar"/>
    <w:uiPriority w:val="99"/>
    <w:semiHidden/>
    <w:unhideWhenUsed/>
    <w:rsid w:val="00450EFF"/>
    <w:pPr>
      <w:ind w:left="4320"/>
    </w:pPr>
  </w:style>
  <w:style w:type="character" w:customStyle="1" w:styleId="ClosingChar">
    <w:name w:val="Closing Char"/>
    <w:basedOn w:val="DefaultParagraphFont"/>
    <w:link w:val="Closing"/>
    <w:uiPriority w:val="99"/>
    <w:semiHidden/>
    <w:rsid w:val="00450EFF"/>
    <w:rPr>
      <w:rFonts w:ascii="Arial" w:hAnsi="Arial"/>
      <w:sz w:val="24"/>
    </w:rPr>
  </w:style>
  <w:style w:type="paragraph" w:styleId="Date">
    <w:name w:val="Date"/>
    <w:basedOn w:val="Normal"/>
    <w:next w:val="Normal"/>
    <w:link w:val="DateChar"/>
    <w:uiPriority w:val="99"/>
    <w:semiHidden/>
    <w:unhideWhenUsed/>
    <w:rsid w:val="00450EFF"/>
  </w:style>
  <w:style w:type="character" w:customStyle="1" w:styleId="DateChar">
    <w:name w:val="Date Char"/>
    <w:basedOn w:val="DefaultParagraphFont"/>
    <w:link w:val="Date"/>
    <w:uiPriority w:val="99"/>
    <w:semiHidden/>
    <w:rsid w:val="00450EFF"/>
    <w:rPr>
      <w:rFonts w:ascii="Arial" w:hAnsi="Arial"/>
      <w:sz w:val="24"/>
    </w:rPr>
  </w:style>
  <w:style w:type="paragraph" w:styleId="DocumentMap">
    <w:name w:val="Document Map"/>
    <w:basedOn w:val="Normal"/>
    <w:link w:val="DocumentMapChar"/>
    <w:uiPriority w:val="99"/>
    <w:semiHidden/>
    <w:unhideWhenUsed/>
    <w:rsid w:val="00450EFF"/>
    <w:rPr>
      <w:rFonts w:ascii="Segoe UI" w:hAnsi="Segoe UI" w:cs="Segoe UI"/>
      <w:sz w:val="16"/>
      <w:szCs w:val="16"/>
    </w:rPr>
  </w:style>
  <w:style w:type="character" w:customStyle="1" w:styleId="DocumentMapChar">
    <w:name w:val="Document Map Char"/>
    <w:basedOn w:val="DefaultParagraphFont"/>
    <w:link w:val="DocumentMap"/>
    <w:uiPriority w:val="99"/>
    <w:semiHidden/>
    <w:rsid w:val="00450EFF"/>
    <w:rPr>
      <w:rFonts w:ascii="Segoe UI" w:hAnsi="Segoe UI" w:cs="Segoe UI"/>
      <w:sz w:val="16"/>
      <w:szCs w:val="16"/>
    </w:rPr>
  </w:style>
  <w:style w:type="paragraph" w:styleId="E-mailSignature">
    <w:name w:val="E-mail Signature"/>
    <w:basedOn w:val="Normal"/>
    <w:link w:val="E-mailSignatureChar"/>
    <w:uiPriority w:val="99"/>
    <w:semiHidden/>
    <w:unhideWhenUsed/>
    <w:rsid w:val="00450EFF"/>
  </w:style>
  <w:style w:type="character" w:customStyle="1" w:styleId="E-mailSignatureChar">
    <w:name w:val="E-mail Signature Char"/>
    <w:basedOn w:val="DefaultParagraphFont"/>
    <w:link w:val="E-mailSignature"/>
    <w:uiPriority w:val="99"/>
    <w:semiHidden/>
    <w:rsid w:val="00450EFF"/>
    <w:rPr>
      <w:rFonts w:ascii="Arial" w:hAnsi="Arial"/>
      <w:sz w:val="24"/>
    </w:rPr>
  </w:style>
  <w:style w:type="paragraph" w:styleId="EnvelopeAddress">
    <w:name w:val="envelope address"/>
    <w:basedOn w:val="Normal"/>
    <w:uiPriority w:val="99"/>
    <w:semiHidden/>
    <w:unhideWhenUsed/>
    <w:rsid w:val="00450EFF"/>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450EFF"/>
    <w:rPr>
      <w:rFonts w:asciiTheme="majorHAnsi" w:eastAsiaTheme="majorEastAsia" w:hAnsiTheme="majorHAnsi" w:cstheme="majorBidi"/>
      <w:sz w:val="20"/>
    </w:rPr>
  </w:style>
  <w:style w:type="paragraph" w:styleId="FootnoteText">
    <w:name w:val="footnote text"/>
    <w:basedOn w:val="Normal"/>
    <w:link w:val="FootnoteTextChar"/>
    <w:uiPriority w:val="99"/>
    <w:semiHidden/>
    <w:unhideWhenUsed/>
    <w:rsid w:val="00450EFF"/>
    <w:rPr>
      <w:sz w:val="20"/>
    </w:rPr>
  </w:style>
  <w:style w:type="character" w:customStyle="1" w:styleId="FootnoteTextChar">
    <w:name w:val="Footnote Text Char"/>
    <w:basedOn w:val="DefaultParagraphFont"/>
    <w:link w:val="FootnoteText"/>
    <w:uiPriority w:val="99"/>
    <w:semiHidden/>
    <w:rsid w:val="00450EFF"/>
    <w:rPr>
      <w:rFonts w:ascii="Arial" w:hAnsi="Arial"/>
    </w:rPr>
  </w:style>
  <w:style w:type="paragraph" w:styleId="HTMLAddress">
    <w:name w:val="HTML Address"/>
    <w:basedOn w:val="Normal"/>
    <w:link w:val="HTMLAddressChar"/>
    <w:uiPriority w:val="99"/>
    <w:semiHidden/>
    <w:unhideWhenUsed/>
    <w:rsid w:val="00450EFF"/>
    <w:rPr>
      <w:i/>
      <w:iCs/>
    </w:rPr>
  </w:style>
  <w:style w:type="character" w:customStyle="1" w:styleId="HTMLAddressChar">
    <w:name w:val="HTML Address Char"/>
    <w:basedOn w:val="DefaultParagraphFont"/>
    <w:link w:val="HTMLAddress"/>
    <w:uiPriority w:val="99"/>
    <w:semiHidden/>
    <w:rsid w:val="00450EFF"/>
    <w:rPr>
      <w:rFonts w:ascii="Arial" w:hAnsi="Arial"/>
      <w:i/>
      <w:iCs/>
      <w:sz w:val="24"/>
    </w:rPr>
  </w:style>
  <w:style w:type="paragraph" w:styleId="HTMLPreformatted">
    <w:name w:val="HTML Preformatted"/>
    <w:basedOn w:val="Normal"/>
    <w:link w:val="HTMLPreformattedChar"/>
    <w:uiPriority w:val="99"/>
    <w:semiHidden/>
    <w:unhideWhenUsed/>
    <w:rsid w:val="00450EFF"/>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450EFF"/>
    <w:rPr>
      <w:rFonts w:ascii="Consolas" w:hAnsi="Consolas" w:cs="Consolas"/>
    </w:rPr>
  </w:style>
  <w:style w:type="paragraph" w:styleId="Index1">
    <w:name w:val="index 1"/>
    <w:basedOn w:val="Normal"/>
    <w:next w:val="Normal"/>
    <w:autoRedefine/>
    <w:uiPriority w:val="99"/>
    <w:semiHidden/>
    <w:unhideWhenUsed/>
    <w:rsid w:val="00450EFF"/>
    <w:pPr>
      <w:ind w:left="240" w:hanging="240"/>
    </w:pPr>
  </w:style>
  <w:style w:type="paragraph" w:styleId="Index2">
    <w:name w:val="index 2"/>
    <w:basedOn w:val="Normal"/>
    <w:next w:val="Normal"/>
    <w:autoRedefine/>
    <w:uiPriority w:val="99"/>
    <w:semiHidden/>
    <w:unhideWhenUsed/>
    <w:rsid w:val="00450EFF"/>
    <w:pPr>
      <w:ind w:left="480" w:hanging="240"/>
    </w:pPr>
  </w:style>
  <w:style w:type="paragraph" w:styleId="Index3">
    <w:name w:val="index 3"/>
    <w:basedOn w:val="Normal"/>
    <w:next w:val="Normal"/>
    <w:autoRedefine/>
    <w:uiPriority w:val="99"/>
    <w:semiHidden/>
    <w:unhideWhenUsed/>
    <w:rsid w:val="00450EFF"/>
    <w:pPr>
      <w:ind w:left="720" w:hanging="240"/>
    </w:pPr>
  </w:style>
  <w:style w:type="paragraph" w:styleId="Index4">
    <w:name w:val="index 4"/>
    <w:basedOn w:val="Normal"/>
    <w:next w:val="Normal"/>
    <w:autoRedefine/>
    <w:uiPriority w:val="99"/>
    <w:semiHidden/>
    <w:unhideWhenUsed/>
    <w:rsid w:val="00450EFF"/>
    <w:pPr>
      <w:ind w:left="960" w:hanging="240"/>
    </w:pPr>
  </w:style>
  <w:style w:type="paragraph" w:styleId="Index5">
    <w:name w:val="index 5"/>
    <w:basedOn w:val="Normal"/>
    <w:next w:val="Normal"/>
    <w:autoRedefine/>
    <w:uiPriority w:val="99"/>
    <w:semiHidden/>
    <w:unhideWhenUsed/>
    <w:rsid w:val="00450EFF"/>
    <w:pPr>
      <w:ind w:left="1200" w:hanging="240"/>
    </w:pPr>
  </w:style>
  <w:style w:type="paragraph" w:styleId="Index6">
    <w:name w:val="index 6"/>
    <w:basedOn w:val="Normal"/>
    <w:next w:val="Normal"/>
    <w:autoRedefine/>
    <w:uiPriority w:val="99"/>
    <w:semiHidden/>
    <w:unhideWhenUsed/>
    <w:rsid w:val="00450EFF"/>
    <w:pPr>
      <w:ind w:left="1440" w:hanging="240"/>
    </w:pPr>
  </w:style>
  <w:style w:type="paragraph" w:styleId="Index7">
    <w:name w:val="index 7"/>
    <w:basedOn w:val="Normal"/>
    <w:next w:val="Normal"/>
    <w:autoRedefine/>
    <w:uiPriority w:val="99"/>
    <w:semiHidden/>
    <w:unhideWhenUsed/>
    <w:rsid w:val="00450EFF"/>
    <w:pPr>
      <w:ind w:left="1680" w:hanging="240"/>
    </w:pPr>
  </w:style>
  <w:style w:type="paragraph" w:styleId="Index8">
    <w:name w:val="index 8"/>
    <w:basedOn w:val="Normal"/>
    <w:next w:val="Normal"/>
    <w:autoRedefine/>
    <w:uiPriority w:val="99"/>
    <w:semiHidden/>
    <w:unhideWhenUsed/>
    <w:rsid w:val="00450EFF"/>
    <w:pPr>
      <w:ind w:left="1920" w:hanging="240"/>
    </w:pPr>
  </w:style>
  <w:style w:type="paragraph" w:styleId="Index9">
    <w:name w:val="index 9"/>
    <w:basedOn w:val="Normal"/>
    <w:next w:val="Normal"/>
    <w:autoRedefine/>
    <w:uiPriority w:val="99"/>
    <w:semiHidden/>
    <w:unhideWhenUsed/>
    <w:rsid w:val="00450EFF"/>
    <w:pPr>
      <w:ind w:left="2160" w:hanging="240"/>
    </w:pPr>
  </w:style>
  <w:style w:type="paragraph" w:styleId="IndexHeading">
    <w:name w:val="index heading"/>
    <w:basedOn w:val="Normal"/>
    <w:next w:val="Index1"/>
    <w:uiPriority w:val="99"/>
    <w:semiHidden/>
    <w:unhideWhenUsed/>
    <w:rsid w:val="00450EF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450EFF"/>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450EFF"/>
    <w:rPr>
      <w:rFonts w:ascii="Arial" w:hAnsi="Arial"/>
      <w:i/>
      <w:iCs/>
      <w:color w:val="4F81BD" w:themeColor="accent1"/>
      <w:sz w:val="24"/>
    </w:rPr>
  </w:style>
  <w:style w:type="paragraph" w:styleId="List">
    <w:name w:val="List"/>
    <w:basedOn w:val="Normal"/>
    <w:uiPriority w:val="99"/>
    <w:semiHidden/>
    <w:unhideWhenUsed/>
    <w:rsid w:val="00450EFF"/>
    <w:pPr>
      <w:ind w:left="360" w:hanging="360"/>
      <w:contextualSpacing/>
    </w:pPr>
  </w:style>
  <w:style w:type="paragraph" w:styleId="List2">
    <w:name w:val="List 2"/>
    <w:basedOn w:val="Normal"/>
    <w:uiPriority w:val="99"/>
    <w:semiHidden/>
    <w:unhideWhenUsed/>
    <w:rsid w:val="00450EFF"/>
    <w:pPr>
      <w:ind w:left="720" w:hanging="360"/>
      <w:contextualSpacing/>
    </w:pPr>
  </w:style>
  <w:style w:type="paragraph" w:styleId="List3">
    <w:name w:val="List 3"/>
    <w:basedOn w:val="Normal"/>
    <w:uiPriority w:val="99"/>
    <w:unhideWhenUsed/>
    <w:rsid w:val="00450EFF"/>
    <w:pPr>
      <w:ind w:left="1080" w:hanging="360"/>
      <w:contextualSpacing/>
    </w:pPr>
  </w:style>
  <w:style w:type="paragraph" w:styleId="List4">
    <w:name w:val="List 4"/>
    <w:basedOn w:val="Normal"/>
    <w:uiPriority w:val="99"/>
    <w:semiHidden/>
    <w:unhideWhenUsed/>
    <w:rsid w:val="00450EFF"/>
    <w:pPr>
      <w:ind w:left="1440" w:hanging="360"/>
      <w:contextualSpacing/>
    </w:pPr>
  </w:style>
  <w:style w:type="paragraph" w:styleId="List5">
    <w:name w:val="List 5"/>
    <w:basedOn w:val="Normal"/>
    <w:uiPriority w:val="99"/>
    <w:semiHidden/>
    <w:unhideWhenUsed/>
    <w:rsid w:val="00450EFF"/>
    <w:pPr>
      <w:ind w:left="1800" w:hanging="360"/>
      <w:contextualSpacing/>
    </w:pPr>
  </w:style>
  <w:style w:type="paragraph" w:styleId="ListBullet">
    <w:name w:val="List Bullet"/>
    <w:basedOn w:val="Normal"/>
    <w:uiPriority w:val="99"/>
    <w:semiHidden/>
    <w:unhideWhenUsed/>
    <w:rsid w:val="00450EFF"/>
    <w:pPr>
      <w:numPr>
        <w:numId w:val="4"/>
      </w:numPr>
      <w:contextualSpacing/>
    </w:pPr>
  </w:style>
  <w:style w:type="paragraph" w:styleId="ListBullet2">
    <w:name w:val="List Bullet 2"/>
    <w:basedOn w:val="Normal"/>
    <w:uiPriority w:val="99"/>
    <w:semiHidden/>
    <w:unhideWhenUsed/>
    <w:rsid w:val="00450EFF"/>
    <w:pPr>
      <w:numPr>
        <w:numId w:val="5"/>
      </w:numPr>
      <w:contextualSpacing/>
    </w:pPr>
  </w:style>
  <w:style w:type="paragraph" w:styleId="ListBullet3">
    <w:name w:val="List Bullet 3"/>
    <w:basedOn w:val="Normal"/>
    <w:uiPriority w:val="99"/>
    <w:semiHidden/>
    <w:unhideWhenUsed/>
    <w:rsid w:val="00450EFF"/>
    <w:pPr>
      <w:numPr>
        <w:numId w:val="6"/>
      </w:numPr>
      <w:contextualSpacing/>
    </w:pPr>
  </w:style>
  <w:style w:type="paragraph" w:styleId="ListBullet4">
    <w:name w:val="List Bullet 4"/>
    <w:basedOn w:val="Normal"/>
    <w:uiPriority w:val="99"/>
    <w:semiHidden/>
    <w:unhideWhenUsed/>
    <w:rsid w:val="00450EFF"/>
    <w:pPr>
      <w:numPr>
        <w:numId w:val="7"/>
      </w:numPr>
      <w:contextualSpacing/>
    </w:pPr>
  </w:style>
  <w:style w:type="paragraph" w:styleId="ListBullet5">
    <w:name w:val="List Bullet 5"/>
    <w:basedOn w:val="Normal"/>
    <w:uiPriority w:val="99"/>
    <w:semiHidden/>
    <w:unhideWhenUsed/>
    <w:rsid w:val="00450EFF"/>
    <w:pPr>
      <w:numPr>
        <w:numId w:val="8"/>
      </w:numPr>
      <w:contextualSpacing/>
    </w:pPr>
  </w:style>
  <w:style w:type="paragraph" w:styleId="ListContinue">
    <w:name w:val="List Continue"/>
    <w:basedOn w:val="Normal"/>
    <w:uiPriority w:val="99"/>
    <w:semiHidden/>
    <w:unhideWhenUsed/>
    <w:rsid w:val="00450EFF"/>
    <w:pPr>
      <w:spacing w:after="120"/>
      <w:ind w:left="360"/>
      <w:contextualSpacing/>
    </w:pPr>
  </w:style>
  <w:style w:type="paragraph" w:styleId="ListContinue2">
    <w:name w:val="List Continue 2"/>
    <w:basedOn w:val="Normal"/>
    <w:uiPriority w:val="99"/>
    <w:semiHidden/>
    <w:unhideWhenUsed/>
    <w:rsid w:val="00450EFF"/>
    <w:pPr>
      <w:spacing w:after="120"/>
      <w:ind w:left="720"/>
      <w:contextualSpacing/>
    </w:pPr>
  </w:style>
  <w:style w:type="paragraph" w:styleId="ListContinue3">
    <w:name w:val="List Continue 3"/>
    <w:basedOn w:val="Normal"/>
    <w:uiPriority w:val="99"/>
    <w:semiHidden/>
    <w:unhideWhenUsed/>
    <w:rsid w:val="00450EFF"/>
    <w:pPr>
      <w:spacing w:after="120"/>
      <w:ind w:left="1080"/>
      <w:contextualSpacing/>
    </w:pPr>
  </w:style>
  <w:style w:type="paragraph" w:styleId="ListContinue4">
    <w:name w:val="List Continue 4"/>
    <w:basedOn w:val="Normal"/>
    <w:uiPriority w:val="99"/>
    <w:semiHidden/>
    <w:unhideWhenUsed/>
    <w:rsid w:val="00450EFF"/>
    <w:pPr>
      <w:spacing w:after="120"/>
      <w:ind w:left="1440"/>
      <w:contextualSpacing/>
    </w:pPr>
  </w:style>
  <w:style w:type="paragraph" w:styleId="ListContinue5">
    <w:name w:val="List Continue 5"/>
    <w:basedOn w:val="Normal"/>
    <w:uiPriority w:val="99"/>
    <w:semiHidden/>
    <w:unhideWhenUsed/>
    <w:rsid w:val="00450EFF"/>
    <w:pPr>
      <w:spacing w:after="120"/>
      <w:ind w:left="1800"/>
      <w:contextualSpacing/>
    </w:pPr>
  </w:style>
  <w:style w:type="paragraph" w:styleId="ListNumber">
    <w:name w:val="List Number"/>
    <w:basedOn w:val="Normal"/>
    <w:uiPriority w:val="99"/>
    <w:semiHidden/>
    <w:unhideWhenUsed/>
    <w:rsid w:val="00450EFF"/>
    <w:pPr>
      <w:numPr>
        <w:numId w:val="9"/>
      </w:numPr>
      <w:contextualSpacing/>
    </w:pPr>
  </w:style>
  <w:style w:type="paragraph" w:styleId="ListNumber2">
    <w:name w:val="List Number 2"/>
    <w:basedOn w:val="Normal"/>
    <w:uiPriority w:val="99"/>
    <w:semiHidden/>
    <w:unhideWhenUsed/>
    <w:rsid w:val="00450EFF"/>
    <w:pPr>
      <w:numPr>
        <w:numId w:val="10"/>
      </w:numPr>
      <w:contextualSpacing/>
    </w:pPr>
  </w:style>
  <w:style w:type="paragraph" w:styleId="ListNumber3">
    <w:name w:val="List Number 3"/>
    <w:basedOn w:val="Normal"/>
    <w:uiPriority w:val="99"/>
    <w:semiHidden/>
    <w:unhideWhenUsed/>
    <w:rsid w:val="00450EFF"/>
    <w:pPr>
      <w:numPr>
        <w:numId w:val="11"/>
      </w:numPr>
      <w:contextualSpacing/>
    </w:pPr>
  </w:style>
  <w:style w:type="paragraph" w:styleId="ListNumber4">
    <w:name w:val="List Number 4"/>
    <w:basedOn w:val="Normal"/>
    <w:uiPriority w:val="99"/>
    <w:semiHidden/>
    <w:unhideWhenUsed/>
    <w:rsid w:val="00450EFF"/>
    <w:pPr>
      <w:numPr>
        <w:numId w:val="12"/>
      </w:numPr>
      <w:contextualSpacing/>
    </w:pPr>
  </w:style>
  <w:style w:type="paragraph" w:styleId="ListNumber5">
    <w:name w:val="List Number 5"/>
    <w:basedOn w:val="Normal"/>
    <w:uiPriority w:val="99"/>
    <w:semiHidden/>
    <w:unhideWhenUsed/>
    <w:rsid w:val="00450EFF"/>
    <w:pPr>
      <w:numPr>
        <w:numId w:val="13"/>
      </w:numPr>
      <w:contextualSpacing/>
    </w:pPr>
  </w:style>
  <w:style w:type="paragraph" w:styleId="MacroText">
    <w:name w:val="macro"/>
    <w:link w:val="MacroTextChar"/>
    <w:uiPriority w:val="99"/>
    <w:semiHidden/>
    <w:unhideWhenUsed/>
    <w:rsid w:val="00450EFF"/>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cs="Consolas"/>
    </w:rPr>
  </w:style>
  <w:style w:type="character" w:customStyle="1" w:styleId="MacroTextChar">
    <w:name w:val="Macro Text Char"/>
    <w:basedOn w:val="DefaultParagraphFont"/>
    <w:link w:val="MacroText"/>
    <w:uiPriority w:val="99"/>
    <w:semiHidden/>
    <w:rsid w:val="00450EFF"/>
    <w:rPr>
      <w:rFonts w:ascii="Consolas" w:hAnsi="Consolas" w:cs="Consolas"/>
    </w:rPr>
  </w:style>
  <w:style w:type="paragraph" w:styleId="MessageHeader">
    <w:name w:val="Message Header"/>
    <w:basedOn w:val="Normal"/>
    <w:link w:val="MessageHeaderChar"/>
    <w:uiPriority w:val="99"/>
    <w:semiHidden/>
    <w:unhideWhenUsed/>
    <w:rsid w:val="00450EFF"/>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450EFF"/>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450EFF"/>
    <w:pPr>
      <w:ind w:left="720"/>
    </w:pPr>
  </w:style>
  <w:style w:type="paragraph" w:styleId="NoteHeading">
    <w:name w:val="Note Heading"/>
    <w:basedOn w:val="Normal"/>
    <w:next w:val="Normal"/>
    <w:link w:val="NoteHeadingChar"/>
    <w:uiPriority w:val="99"/>
    <w:semiHidden/>
    <w:unhideWhenUsed/>
    <w:rsid w:val="00450EFF"/>
  </w:style>
  <w:style w:type="character" w:customStyle="1" w:styleId="NoteHeadingChar">
    <w:name w:val="Note Heading Char"/>
    <w:basedOn w:val="DefaultParagraphFont"/>
    <w:link w:val="NoteHeading"/>
    <w:uiPriority w:val="99"/>
    <w:semiHidden/>
    <w:rsid w:val="00450EFF"/>
    <w:rPr>
      <w:rFonts w:ascii="Arial" w:hAnsi="Arial"/>
      <w:sz w:val="24"/>
    </w:rPr>
  </w:style>
  <w:style w:type="paragraph" w:styleId="PlainText">
    <w:name w:val="Plain Text"/>
    <w:basedOn w:val="Normal"/>
    <w:link w:val="PlainTextChar"/>
    <w:uiPriority w:val="99"/>
    <w:semiHidden/>
    <w:unhideWhenUsed/>
    <w:rsid w:val="00450EFF"/>
    <w:rPr>
      <w:rFonts w:ascii="Consolas" w:hAnsi="Consolas" w:cs="Consolas"/>
      <w:sz w:val="21"/>
      <w:szCs w:val="21"/>
    </w:rPr>
  </w:style>
  <w:style w:type="character" w:customStyle="1" w:styleId="PlainTextChar">
    <w:name w:val="Plain Text Char"/>
    <w:basedOn w:val="DefaultParagraphFont"/>
    <w:link w:val="PlainText"/>
    <w:uiPriority w:val="99"/>
    <w:semiHidden/>
    <w:rsid w:val="00450EFF"/>
    <w:rPr>
      <w:rFonts w:ascii="Consolas" w:hAnsi="Consolas" w:cs="Consolas"/>
      <w:sz w:val="21"/>
      <w:szCs w:val="21"/>
    </w:rPr>
  </w:style>
  <w:style w:type="paragraph" w:styleId="Salutation">
    <w:name w:val="Salutation"/>
    <w:basedOn w:val="Normal"/>
    <w:next w:val="Normal"/>
    <w:link w:val="SalutationChar"/>
    <w:uiPriority w:val="99"/>
    <w:semiHidden/>
    <w:unhideWhenUsed/>
    <w:rsid w:val="00450EFF"/>
  </w:style>
  <w:style w:type="character" w:customStyle="1" w:styleId="SalutationChar">
    <w:name w:val="Salutation Char"/>
    <w:basedOn w:val="DefaultParagraphFont"/>
    <w:link w:val="Salutation"/>
    <w:uiPriority w:val="99"/>
    <w:semiHidden/>
    <w:rsid w:val="00450EFF"/>
    <w:rPr>
      <w:rFonts w:ascii="Arial" w:hAnsi="Arial"/>
      <w:sz w:val="24"/>
    </w:rPr>
  </w:style>
  <w:style w:type="paragraph" w:styleId="Signature">
    <w:name w:val="Signature"/>
    <w:basedOn w:val="Normal"/>
    <w:link w:val="SignatureChar"/>
    <w:uiPriority w:val="99"/>
    <w:semiHidden/>
    <w:unhideWhenUsed/>
    <w:rsid w:val="00450EFF"/>
    <w:pPr>
      <w:ind w:left="4320"/>
    </w:pPr>
  </w:style>
  <w:style w:type="character" w:customStyle="1" w:styleId="SignatureChar">
    <w:name w:val="Signature Char"/>
    <w:basedOn w:val="DefaultParagraphFont"/>
    <w:link w:val="Signature"/>
    <w:uiPriority w:val="99"/>
    <w:semiHidden/>
    <w:rsid w:val="00450EFF"/>
    <w:rPr>
      <w:rFonts w:ascii="Arial" w:hAnsi="Arial"/>
      <w:sz w:val="24"/>
    </w:rPr>
  </w:style>
  <w:style w:type="paragraph" w:styleId="Subtitle">
    <w:name w:val="Subtitle"/>
    <w:basedOn w:val="Normal"/>
    <w:next w:val="Normal"/>
    <w:link w:val="SubtitleChar"/>
    <w:uiPriority w:val="11"/>
    <w:qFormat/>
    <w:rsid w:val="00450EFF"/>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uiPriority w:val="11"/>
    <w:rsid w:val="00450EFF"/>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uiPriority w:val="99"/>
    <w:semiHidden/>
    <w:unhideWhenUsed/>
    <w:rsid w:val="00450EFF"/>
    <w:pPr>
      <w:ind w:left="240" w:hanging="240"/>
    </w:pPr>
  </w:style>
  <w:style w:type="paragraph" w:styleId="TableofFigures">
    <w:name w:val="table of figures"/>
    <w:basedOn w:val="Normal"/>
    <w:next w:val="Normal"/>
    <w:uiPriority w:val="99"/>
    <w:semiHidden/>
    <w:unhideWhenUsed/>
    <w:rsid w:val="00450EFF"/>
  </w:style>
  <w:style w:type="paragraph" w:styleId="Title">
    <w:name w:val="Title"/>
    <w:basedOn w:val="Normal"/>
    <w:next w:val="Normal"/>
    <w:link w:val="TitleChar"/>
    <w:uiPriority w:val="10"/>
    <w:qFormat/>
    <w:rsid w:val="00450EF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50EFF"/>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450EFF"/>
    <w:pPr>
      <w:spacing w:before="120"/>
    </w:pPr>
    <w:rPr>
      <w:rFonts w:asciiTheme="majorHAnsi" w:eastAsiaTheme="majorEastAsia" w:hAnsiTheme="majorHAnsi" w:cstheme="majorBidi"/>
      <w:b/>
      <w:bCs/>
      <w:szCs w:val="24"/>
    </w:rPr>
  </w:style>
  <w:style w:type="paragraph" w:styleId="TOC4">
    <w:name w:val="toc 4"/>
    <w:basedOn w:val="Normal"/>
    <w:next w:val="Normal"/>
    <w:autoRedefine/>
    <w:uiPriority w:val="39"/>
    <w:semiHidden/>
    <w:unhideWhenUsed/>
    <w:rsid w:val="00450EFF"/>
    <w:pPr>
      <w:spacing w:after="100"/>
      <w:ind w:left="720"/>
    </w:pPr>
  </w:style>
  <w:style w:type="paragraph" w:styleId="TOC5">
    <w:name w:val="toc 5"/>
    <w:basedOn w:val="Normal"/>
    <w:next w:val="Normal"/>
    <w:autoRedefine/>
    <w:uiPriority w:val="39"/>
    <w:semiHidden/>
    <w:unhideWhenUsed/>
    <w:rsid w:val="00450EFF"/>
    <w:pPr>
      <w:spacing w:after="100"/>
      <w:ind w:left="960"/>
    </w:pPr>
  </w:style>
  <w:style w:type="paragraph" w:styleId="TOC6">
    <w:name w:val="toc 6"/>
    <w:basedOn w:val="Normal"/>
    <w:next w:val="Normal"/>
    <w:autoRedefine/>
    <w:uiPriority w:val="39"/>
    <w:semiHidden/>
    <w:unhideWhenUsed/>
    <w:rsid w:val="00450EFF"/>
    <w:pPr>
      <w:spacing w:after="100"/>
      <w:ind w:left="1200"/>
    </w:pPr>
  </w:style>
  <w:style w:type="paragraph" w:styleId="TOC7">
    <w:name w:val="toc 7"/>
    <w:basedOn w:val="Normal"/>
    <w:next w:val="Normal"/>
    <w:autoRedefine/>
    <w:uiPriority w:val="39"/>
    <w:semiHidden/>
    <w:unhideWhenUsed/>
    <w:rsid w:val="00450EFF"/>
    <w:pPr>
      <w:spacing w:after="100"/>
      <w:ind w:left="1440"/>
    </w:pPr>
  </w:style>
  <w:style w:type="paragraph" w:styleId="TOC8">
    <w:name w:val="toc 8"/>
    <w:basedOn w:val="Normal"/>
    <w:next w:val="Normal"/>
    <w:autoRedefine/>
    <w:uiPriority w:val="39"/>
    <w:semiHidden/>
    <w:unhideWhenUsed/>
    <w:rsid w:val="00450EFF"/>
    <w:pPr>
      <w:spacing w:after="100"/>
      <w:ind w:left="1680"/>
    </w:pPr>
  </w:style>
  <w:style w:type="paragraph" w:styleId="TOC9">
    <w:name w:val="toc 9"/>
    <w:basedOn w:val="Normal"/>
    <w:next w:val="Normal"/>
    <w:autoRedefine/>
    <w:uiPriority w:val="39"/>
    <w:semiHidden/>
    <w:unhideWhenUsed/>
    <w:rsid w:val="00450EFF"/>
    <w:pPr>
      <w:spacing w:after="100"/>
      <w:ind w:left="1920"/>
    </w:pPr>
  </w:style>
  <w:style w:type="character" w:styleId="PlaceholderText">
    <w:name w:val="Placeholder Text"/>
    <w:basedOn w:val="DefaultParagraphFont"/>
    <w:uiPriority w:val="99"/>
    <w:semiHidden/>
    <w:rsid w:val="00301359"/>
    <w:rPr>
      <w:color w:val="808080"/>
    </w:rPr>
  </w:style>
  <w:style w:type="paragraph" w:customStyle="1" w:styleId="body">
    <w:name w:val="body"/>
    <w:basedOn w:val="Normal"/>
    <w:rsid w:val="002760E5"/>
    <w:pPr>
      <w:overflowPunct/>
      <w:autoSpaceDE/>
      <w:autoSpaceDN/>
      <w:adjustRightInd/>
      <w:textAlignment w:val="auto"/>
    </w:pPr>
    <w:rPr>
      <w:szCs w:val="24"/>
    </w:rPr>
  </w:style>
  <w:style w:type="paragraph" w:styleId="Revision">
    <w:name w:val="Revision"/>
    <w:hidden/>
    <w:uiPriority w:val="99"/>
    <w:semiHidden/>
    <w:rsid w:val="005C3777"/>
    <w:rPr>
      <w:rFonts w:ascii="Calibri" w:hAnsi="Calibri"/>
      <w:sz w:val="22"/>
    </w:rPr>
  </w:style>
  <w:style w:type="table" w:customStyle="1" w:styleId="TableGrid1">
    <w:name w:val="Table Grid1"/>
    <w:basedOn w:val="TableNormal"/>
    <w:next w:val="TableGrid"/>
    <w:uiPriority w:val="59"/>
    <w:rsid w:val="00293A1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t1">
    <w:name w:val="content1"/>
    <w:basedOn w:val="Normal"/>
    <w:rsid w:val="004F7A88"/>
    <w:pPr>
      <w:overflowPunct/>
      <w:autoSpaceDE/>
      <w:autoSpaceDN/>
      <w:adjustRightInd/>
      <w:spacing w:before="100" w:beforeAutospacing="1" w:after="100" w:afterAutospacing="1"/>
      <w:textAlignment w:val="auto"/>
    </w:pPr>
    <w:rPr>
      <w:rFonts w:ascii="Times New Roman" w:hAnsi="Times New Roman"/>
      <w:sz w:val="24"/>
      <w:szCs w:val="24"/>
    </w:rPr>
  </w:style>
  <w:style w:type="character" w:customStyle="1" w:styleId="ital">
    <w:name w:val="ital"/>
    <w:basedOn w:val="DefaultParagraphFont"/>
    <w:rsid w:val="004F7A88"/>
  </w:style>
  <w:style w:type="paragraph" w:customStyle="1" w:styleId="incr1">
    <w:name w:val="incr1"/>
    <w:basedOn w:val="Normal"/>
    <w:rsid w:val="004F7A88"/>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content2">
    <w:name w:val="content2"/>
    <w:basedOn w:val="Normal"/>
    <w:rsid w:val="004F7A88"/>
    <w:pPr>
      <w:overflowPunct/>
      <w:autoSpaceDE/>
      <w:autoSpaceDN/>
      <w:adjustRightInd/>
      <w:spacing w:before="100" w:beforeAutospacing="1" w:after="100" w:afterAutospacing="1"/>
      <w:textAlignment w:val="auto"/>
    </w:pPr>
    <w:rPr>
      <w:rFonts w:ascii="Times New Roman" w:hAnsi="Times New Roman"/>
      <w:sz w:val="24"/>
      <w:szCs w:val="24"/>
    </w:rPr>
  </w:style>
  <w:style w:type="character" w:customStyle="1" w:styleId="sr-only">
    <w:name w:val="sr-only"/>
    <w:basedOn w:val="DefaultParagraphFont"/>
    <w:rsid w:val="000A29F3"/>
  </w:style>
  <w:style w:type="paragraph" w:customStyle="1" w:styleId="incr0">
    <w:name w:val="incr0"/>
    <w:basedOn w:val="Normal"/>
    <w:rsid w:val="000A29F3"/>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incr2">
    <w:name w:val="incr2"/>
    <w:basedOn w:val="Normal"/>
    <w:rsid w:val="000A29F3"/>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content3">
    <w:name w:val="content3"/>
    <w:basedOn w:val="Normal"/>
    <w:rsid w:val="000A29F3"/>
    <w:pPr>
      <w:overflowPunct/>
      <w:autoSpaceDE/>
      <w:autoSpaceDN/>
      <w:adjustRightInd/>
      <w:spacing w:before="100" w:beforeAutospacing="1" w:after="100" w:afterAutospacing="1"/>
      <w:textAlignment w:val="auto"/>
    </w:pPr>
    <w:rPr>
      <w:rFonts w:ascii="Times New Roman" w:hAnsi="Times New Roman"/>
      <w:sz w:val="24"/>
      <w:szCs w:val="24"/>
    </w:rPr>
  </w:style>
  <w:style w:type="character" w:customStyle="1" w:styleId="Heading6Char">
    <w:name w:val="Heading 6 Char"/>
    <w:basedOn w:val="DefaultParagraphFont"/>
    <w:link w:val="Heading6"/>
    <w:rsid w:val="009375B5"/>
    <w:rPr>
      <w:i/>
      <w:sz w:val="22"/>
    </w:rPr>
  </w:style>
  <w:style w:type="paragraph" w:customStyle="1" w:styleId="List1">
    <w:name w:val="List 1"/>
    <w:basedOn w:val="Normal"/>
    <w:uiPriority w:val="5"/>
    <w:qFormat/>
    <w:rsid w:val="00004EAD"/>
    <w:pPr>
      <w:overflowPunct/>
      <w:autoSpaceDE/>
      <w:autoSpaceDN/>
      <w:adjustRightInd/>
      <w:spacing w:before="40" w:after="120"/>
      <w:ind w:left="475" w:hanging="475"/>
      <w:textAlignment w:val="auto"/>
    </w:pPr>
    <w:rPr>
      <w:rFonts w:eastAsiaTheme="minorHAnsi" w:cstheme="minorBidi"/>
      <w:sz w:val="20"/>
      <w:szCs w:val="24"/>
    </w:rPr>
  </w:style>
  <w:style w:type="paragraph" w:customStyle="1" w:styleId="Section">
    <w:name w:val="Section"/>
    <w:basedOn w:val="Heading1"/>
    <w:next w:val="Normal"/>
    <w:uiPriority w:val="1"/>
    <w:qFormat/>
    <w:rsid w:val="00680A79"/>
    <w:pPr>
      <w:keepNext/>
      <w:keepLines/>
      <w:tabs>
        <w:tab w:val="clear" w:pos="360"/>
      </w:tabs>
      <w:overflowPunct/>
      <w:autoSpaceDE/>
      <w:autoSpaceDN/>
      <w:adjustRightInd/>
      <w:spacing w:before="180" w:after="120" w:line="276" w:lineRule="auto"/>
      <w:ind w:left="950" w:hanging="950"/>
      <w:textAlignment w:val="auto"/>
      <w:outlineLvl w:val="5"/>
    </w:pPr>
    <w:rPr>
      <w:rFonts w:ascii="Calibri" w:eastAsiaTheme="minorHAnsi" w:hAnsi="Calibri" w:cstheme="minorBidi"/>
      <w:sz w:val="24"/>
      <w:szCs w:val="32"/>
    </w:rPr>
  </w:style>
  <w:style w:type="paragraph" w:customStyle="1" w:styleId="Block3">
    <w:name w:val="Block 3"/>
    <w:basedOn w:val="Normal"/>
    <w:uiPriority w:val="3"/>
    <w:unhideWhenUsed/>
    <w:qFormat/>
    <w:rsid w:val="00926FDA"/>
    <w:pPr>
      <w:overflowPunct/>
      <w:autoSpaceDE/>
      <w:autoSpaceDN/>
      <w:adjustRightInd/>
      <w:spacing w:before="40" w:after="120"/>
      <w:ind w:left="950"/>
      <w:textAlignment w:val="auto"/>
    </w:pPr>
    <w:rPr>
      <w:rFonts w:eastAsiaTheme="minorHAnsi" w:cstheme="minorBidi"/>
      <w:sz w:val="20"/>
      <w:szCs w:val="24"/>
    </w:rPr>
  </w:style>
  <w:style w:type="character" w:customStyle="1" w:styleId="fontstyle01">
    <w:name w:val="fontstyle01"/>
    <w:basedOn w:val="DefaultParagraphFont"/>
    <w:rsid w:val="00297C4E"/>
    <w:rPr>
      <w:rFonts w:ascii="Calibri" w:hAnsi="Calibri" w:cs="Calibri"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109178">
      <w:bodyDiv w:val="1"/>
      <w:marLeft w:val="0"/>
      <w:marRight w:val="0"/>
      <w:marTop w:val="0"/>
      <w:marBottom w:val="0"/>
      <w:divBdr>
        <w:top w:val="none" w:sz="0" w:space="0" w:color="auto"/>
        <w:left w:val="none" w:sz="0" w:space="0" w:color="auto"/>
        <w:bottom w:val="none" w:sz="0" w:space="0" w:color="auto"/>
        <w:right w:val="none" w:sz="0" w:space="0" w:color="auto"/>
      </w:divBdr>
    </w:div>
    <w:div w:id="87700690">
      <w:bodyDiv w:val="1"/>
      <w:marLeft w:val="0"/>
      <w:marRight w:val="0"/>
      <w:marTop w:val="0"/>
      <w:marBottom w:val="0"/>
      <w:divBdr>
        <w:top w:val="none" w:sz="0" w:space="0" w:color="auto"/>
        <w:left w:val="none" w:sz="0" w:space="0" w:color="auto"/>
        <w:bottom w:val="none" w:sz="0" w:space="0" w:color="auto"/>
        <w:right w:val="none" w:sz="0" w:space="0" w:color="auto"/>
      </w:divBdr>
    </w:div>
    <w:div w:id="219947361">
      <w:bodyDiv w:val="1"/>
      <w:marLeft w:val="0"/>
      <w:marRight w:val="0"/>
      <w:marTop w:val="0"/>
      <w:marBottom w:val="0"/>
      <w:divBdr>
        <w:top w:val="none" w:sz="0" w:space="0" w:color="auto"/>
        <w:left w:val="none" w:sz="0" w:space="0" w:color="auto"/>
        <w:bottom w:val="none" w:sz="0" w:space="0" w:color="auto"/>
        <w:right w:val="none" w:sz="0" w:space="0" w:color="auto"/>
      </w:divBdr>
    </w:div>
    <w:div w:id="254632809">
      <w:bodyDiv w:val="1"/>
      <w:marLeft w:val="0"/>
      <w:marRight w:val="0"/>
      <w:marTop w:val="0"/>
      <w:marBottom w:val="0"/>
      <w:divBdr>
        <w:top w:val="none" w:sz="0" w:space="0" w:color="auto"/>
        <w:left w:val="none" w:sz="0" w:space="0" w:color="auto"/>
        <w:bottom w:val="none" w:sz="0" w:space="0" w:color="auto"/>
        <w:right w:val="none" w:sz="0" w:space="0" w:color="auto"/>
      </w:divBdr>
    </w:div>
    <w:div w:id="257250233">
      <w:bodyDiv w:val="1"/>
      <w:marLeft w:val="0"/>
      <w:marRight w:val="0"/>
      <w:marTop w:val="0"/>
      <w:marBottom w:val="0"/>
      <w:divBdr>
        <w:top w:val="none" w:sz="0" w:space="0" w:color="auto"/>
        <w:left w:val="none" w:sz="0" w:space="0" w:color="auto"/>
        <w:bottom w:val="none" w:sz="0" w:space="0" w:color="auto"/>
        <w:right w:val="none" w:sz="0" w:space="0" w:color="auto"/>
      </w:divBdr>
    </w:div>
    <w:div w:id="315035044">
      <w:bodyDiv w:val="1"/>
      <w:marLeft w:val="0"/>
      <w:marRight w:val="0"/>
      <w:marTop w:val="0"/>
      <w:marBottom w:val="0"/>
      <w:divBdr>
        <w:top w:val="none" w:sz="0" w:space="0" w:color="auto"/>
        <w:left w:val="none" w:sz="0" w:space="0" w:color="auto"/>
        <w:bottom w:val="none" w:sz="0" w:space="0" w:color="auto"/>
        <w:right w:val="none" w:sz="0" w:space="0" w:color="auto"/>
      </w:divBdr>
    </w:div>
    <w:div w:id="315769031">
      <w:bodyDiv w:val="1"/>
      <w:marLeft w:val="0"/>
      <w:marRight w:val="0"/>
      <w:marTop w:val="0"/>
      <w:marBottom w:val="0"/>
      <w:divBdr>
        <w:top w:val="none" w:sz="0" w:space="0" w:color="auto"/>
        <w:left w:val="none" w:sz="0" w:space="0" w:color="auto"/>
        <w:bottom w:val="none" w:sz="0" w:space="0" w:color="auto"/>
        <w:right w:val="none" w:sz="0" w:space="0" w:color="auto"/>
      </w:divBdr>
    </w:div>
    <w:div w:id="325866661">
      <w:bodyDiv w:val="1"/>
      <w:marLeft w:val="0"/>
      <w:marRight w:val="0"/>
      <w:marTop w:val="0"/>
      <w:marBottom w:val="0"/>
      <w:divBdr>
        <w:top w:val="none" w:sz="0" w:space="0" w:color="auto"/>
        <w:left w:val="none" w:sz="0" w:space="0" w:color="auto"/>
        <w:bottom w:val="none" w:sz="0" w:space="0" w:color="auto"/>
        <w:right w:val="none" w:sz="0" w:space="0" w:color="auto"/>
      </w:divBdr>
    </w:div>
    <w:div w:id="407075017">
      <w:bodyDiv w:val="1"/>
      <w:marLeft w:val="0"/>
      <w:marRight w:val="0"/>
      <w:marTop w:val="0"/>
      <w:marBottom w:val="0"/>
      <w:divBdr>
        <w:top w:val="none" w:sz="0" w:space="0" w:color="auto"/>
        <w:left w:val="none" w:sz="0" w:space="0" w:color="auto"/>
        <w:bottom w:val="none" w:sz="0" w:space="0" w:color="auto"/>
        <w:right w:val="none" w:sz="0" w:space="0" w:color="auto"/>
      </w:divBdr>
    </w:div>
    <w:div w:id="439571173">
      <w:bodyDiv w:val="1"/>
      <w:marLeft w:val="0"/>
      <w:marRight w:val="0"/>
      <w:marTop w:val="0"/>
      <w:marBottom w:val="0"/>
      <w:divBdr>
        <w:top w:val="none" w:sz="0" w:space="0" w:color="auto"/>
        <w:left w:val="none" w:sz="0" w:space="0" w:color="auto"/>
        <w:bottom w:val="none" w:sz="0" w:space="0" w:color="auto"/>
        <w:right w:val="none" w:sz="0" w:space="0" w:color="auto"/>
      </w:divBdr>
    </w:div>
    <w:div w:id="446970178">
      <w:bodyDiv w:val="1"/>
      <w:marLeft w:val="0"/>
      <w:marRight w:val="0"/>
      <w:marTop w:val="0"/>
      <w:marBottom w:val="0"/>
      <w:divBdr>
        <w:top w:val="none" w:sz="0" w:space="0" w:color="auto"/>
        <w:left w:val="none" w:sz="0" w:space="0" w:color="auto"/>
        <w:bottom w:val="none" w:sz="0" w:space="0" w:color="auto"/>
        <w:right w:val="none" w:sz="0" w:space="0" w:color="auto"/>
      </w:divBdr>
    </w:div>
    <w:div w:id="461969693">
      <w:bodyDiv w:val="1"/>
      <w:marLeft w:val="0"/>
      <w:marRight w:val="0"/>
      <w:marTop w:val="0"/>
      <w:marBottom w:val="0"/>
      <w:divBdr>
        <w:top w:val="none" w:sz="0" w:space="0" w:color="auto"/>
        <w:left w:val="none" w:sz="0" w:space="0" w:color="auto"/>
        <w:bottom w:val="none" w:sz="0" w:space="0" w:color="auto"/>
        <w:right w:val="none" w:sz="0" w:space="0" w:color="auto"/>
      </w:divBdr>
    </w:div>
    <w:div w:id="488131341">
      <w:bodyDiv w:val="1"/>
      <w:marLeft w:val="0"/>
      <w:marRight w:val="0"/>
      <w:marTop w:val="0"/>
      <w:marBottom w:val="0"/>
      <w:divBdr>
        <w:top w:val="none" w:sz="0" w:space="0" w:color="auto"/>
        <w:left w:val="none" w:sz="0" w:space="0" w:color="auto"/>
        <w:bottom w:val="none" w:sz="0" w:space="0" w:color="auto"/>
        <w:right w:val="none" w:sz="0" w:space="0" w:color="auto"/>
      </w:divBdr>
      <w:divsChild>
        <w:div w:id="2112236387">
          <w:marLeft w:val="0"/>
          <w:marRight w:val="0"/>
          <w:marTop w:val="120"/>
          <w:marBottom w:val="120"/>
          <w:divBdr>
            <w:top w:val="none" w:sz="0" w:space="0" w:color="auto"/>
            <w:left w:val="none" w:sz="0" w:space="0" w:color="auto"/>
            <w:bottom w:val="none" w:sz="0" w:space="0" w:color="auto"/>
            <w:right w:val="none" w:sz="0" w:space="0" w:color="auto"/>
          </w:divBdr>
          <w:divsChild>
            <w:div w:id="1768430232">
              <w:marLeft w:val="0"/>
              <w:marRight w:val="0"/>
              <w:marTop w:val="0"/>
              <w:marBottom w:val="0"/>
              <w:divBdr>
                <w:top w:val="none" w:sz="0" w:space="0" w:color="auto"/>
                <w:left w:val="none" w:sz="0" w:space="0" w:color="auto"/>
                <w:bottom w:val="none" w:sz="0" w:space="0" w:color="auto"/>
                <w:right w:val="none" w:sz="0" w:space="0" w:color="auto"/>
              </w:divBdr>
              <w:divsChild>
                <w:div w:id="1373916435">
                  <w:marLeft w:val="0"/>
                  <w:marRight w:val="0"/>
                  <w:marTop w:val="0"/>
                  <w:marBottom w:val="0"/>
                  <w:divBdr>
                    <w:top w:val="none" w:sz="0" w:space="0" w:color="auto"/>
                    <w:left w:val="none" w:sz="0" w:space="0" w:color="auto"/>
                    <w:bottom w:val="none" w:sz="0" w:space="0" w:color="auto"/>
                    <w:right w:val="none" w:sz="0" w:space="0" w:color="auto"/>
                  </w:divBdr>
                </w:div>
              </w:divsChild>
            </w:div>
            <w:div w:id="2052149961">
              <w:marLeft w:val="0"/>
              <w:marRight w:val="0"/>
              <w:marTop w:val="0"/>
              <w:marBottom w:val="0"/>
              <w:divBdr>
                <w:top w:val="none" w:sz="0" w:space="0" w:color="auto"/>
                <w:left w:val="none" w:sz="0" w:space="0" w:color="auto"/>
                <w:bottom w:val="none" w:sz="0" w:space="0" w:color="auto"/>
                <w:right w:val="none" w:sz="0" w:space="0" w:color="auto"/>
              </w:divBdr>
              <w:divsChild>
                <w:div w:id="123550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364687">
          <w:marLeft w:val="0"/>
          <w:marRight w:val="0"/>
          <w:marTop w:val="0"/>
          <w:marBottom w:val="0"/>
          <w:divBdr>
            <w:top w:val="none" w:sz="0" w:space="0" w:color="auto"/>
            <w:left w:val="none" w:sz="0" w:space="0" w:color="auto"/>
            <w:bottom w:val="none" w:sz="0" w:space="0" w:color="auto"/>
            <w:right w:val="none" w:sz="0" w:space="0" w:color="auto"/>
          </w:divBdr>
        </w:div>
      </w:divsChild>
    </w:div>
    <w:div w:id="520095132">
      <w:bodyDiv w:val="1"/>
      <w:marLeft w:val="0"/>
      <w:marRight w:val="0"/>
      <w:marTop w:val="0"/>
      <w:marBottom w:val="0"/>
      <w:divBdr>
        <w:top w:val="none" w:sz="0" w:space="0" w:color="auto"/>
        <w:left w:val="none" w:sz="0" w:space="0" w:color="auto"/>
        <w:bottom w:val="none" w:sz="0" w:space="0" w:color="auto"/>
        <w:right w:val="none" w:sz="0" w:space="0" w:color="auto"/>
      </w:divBdr>
    </w:div>
    <w:div w:id="532696675">
      <w:bodyDiv w:val="1"/>
      <w:marLeft w:val="0"/>
      <w:marRight w:val="0"/>
      <w:marTop w:val="0"/>
      <w:marBottom w:val="0"/>
      <w:divBdr>
        <w:top w:val="none" w:sz="0" w:space="0" w:color="auto"/>
        <w:left w:val="none" w:sz="0" w:space="0" w:color="auto"/>
        <w:bottom w:val="none" w:sz="0" w:space="0" w:color="auto"/>
        <w:right w:val="none" w:sz="0" w:space="0" w:color="auto"/>
      </w:divBdr>
    </w:div>
    <w:div w:id="561062923">
      <w:bodyDiv w:val="1"/>
      <w:marLeft w:val="0"/>
      <w:marRight w:val="0"/>
      <w:marTop w:val="0"/>
      <w:marBottom w:val="0"/>
      <w:divBdr>
        <w:top w:val="none" w:sz="0" w:space="0" w:color="auto"/>
        <w:left w:val="none" w:sz="0" w:space="0" w:color="auto"/>
        <w:bottom w:val="none" w:sz="0" w:space="0" w:color="auto"/>
        <w:right w:val="none" w:sz="0" w:space="0" w:color="auto"/>
      </w:divBdr>
    </w:div>
    <w:div w:id="565533907">
      <w:bodyDiv w:val="1"/>
      <w:marLeft w:val="0"/>
      <w:marRight w:val="0"/>
      <w:marTop w:val="0"/>
      <w:marBottom w:val="0"/>
      <w:divBdr>
        <w:top w:val="none" w:sz="0" w:space="0" w:color="auto"/>
        <w:left w:val="none" w:sz="0" w:space="0" w:color="auto"/>
        <w:bottom w:val="none" w:sz="0" w:space="0" w:color="auto"/>
        <w:right w:val="none" w:sz="0" w:space="0" w:color="auto"/>
      </w:divBdr>
    </w:div>
    <w:div w:id="590745584">
      <w:bodyDiv w:val="1"/>
      <w:marLeft w:val="0"/>
      <w:marRight w:val="0"/>
      <w:marTop w:val="0"/>
      <w:marBottom w:val="0"/>
      <w:divBdr>
        <w:top w:val="none" w:sz="0" w:space="0" w:color="auto"/>
        <w:left w:val="none" w:sz="0" w:space="0" w:color="auto"/>
        <w:bottom w:val="none" w:sz="0" w:space="0" w:color="auto"/>
        <w:right w:val="none" w:sz="0" w:space="0" w:color="auto"/>
      </w:divBdr>
    </w:div>
    <w:div w:id="605842953">
      <w:bodyDiv w:val="1"/>
      <w:marLeft w:val="0"/>
      <w:marRight w:val="0"/>
      <w:marTop w:val="0"/>
      <w:marBottom w:val="0"/>
      <w:divBdr>
        <w:top w:val="none" w:sz="0" w:space="0" w:color="auto"/>
        <w:left w:val="none" w:sz="0" w:space="0" w:color="auto"/>
        <w:bottom w:val="none" w:sz="0" w:space="0" w:color="auto"/>
        <w:right w:val="none" w:sz="0" w:space="0" w:color="auto"/>
      </w:divBdr>
    </w:div>
    <w:div w:id="627854009">
      <w:bodyDiv w:val="1"/>
      <w:marLeft w:val="0"/>
      <w:marRight w:val="0"/>
      <w:marTop w:val="0"/>
      <w:marBottom w:val="0"/>
      <w:divBdr>
        <w:top w:val="none" w:sz="0" w:space="0" w:color="auto"/>
        <w:left w:val="none" w:sz="0" w:space="0" w:color="auto"/>
        <w:bottom w:val="none" w:sz="0" w:space="0" w:color="auto"/>
        <w:right w:val="none" w:sz="0" w:space="0" w:color="auto"/>
      </w:divBdr>
    </w:div>
    <w:div w:id="646937339">
      <w:bodyDiv w:val="1"/>
      <w:marLeft w:val="0"/>
      <w:marRight w:val="0"/>
      <w:marTop w:val="0"/>
      <w:marBottom w:val="0"/>
      <w:divBdr>
        <w:top w:val="none" w:sz="0" w:space="0" w:color="auto"/>
        <w:left w:val="none" w:sz="0" w:space="0" w:color="auto"/>
        <w:bottom w:val="none" w:sz="0" w:space="0" w:color="auto"/>
        <w:right w:val="none" w:sz="0" w:space="0" w:color="auto"/>
      </w:divBdr>
    </w:div>
    <w:div w:id="679241659">
      <w:bodyDiv w:val="1"/>
      <w:marLeft w:val="0"/>
      <w:marRight w:val="0"/>
      <w:marTop w:val="0"/>
      <w:marBottom w:val="0"/>
      <w:divBdr>
        <w:top w:val="none" w:sz="0" w:space="0" w:color="auto"/>
        <w:left w:val="none" w:sz="0" w:space="0" w:color="auto"/>
        <w:bottom w:val="none" w:sz="0" w:space="0" w:color="auto"/>
        <w:right w:val="none" w:sz="0" w:space="0" w:color="auto"/>
      </w:divBdr>
      <w:divsChild>
        <w:div w:id="865212249">
          <w:marLeft w:val="0"/>
          <w:marRight w:val="0"/>
          <w:marTop w:val="120"/>
          <w:marBottom w:val="120"/>
          <w:divBdr>
            <w:top w:val="none" w:sz="0" w:space="0" w:color="auto"/>
            <w:left w:val="none" w:sz="0" w:space="0" w:color="auto"/>
            <w:bottom w:val="none" w:sz="0" w:space="0" w:color="auto"/>
            <w:right w:val="none" w:sz="0" w:space="0" w:color="auto"/>
          </w:divBdr>
          <w:divsChild>
            <w:div w:id="265843638">
              <w:marLeft w:val="0"/>
              <w:marRight w:val="0"/>
              <w:marTop w:val="0"/>
              <w:marBottom w:val="0"/>
              <w:divBdr>
                <w:top w:val="none" w:sz="0" w:space="0" w:color="auto"/>
                <w:left w:val="none" w:sz="0" w:space="0" w:color="auto"/>
                <w:bottom w:val="none" w:sz="0" w:space="0" w:color="auto"/>
                <w:right w:val="none" w:sz="0" w:space="0" w:color="auto"/>
              </w:divBdr>
              <w:divsChild>
                <w:div w:id="1864323151">
                  <w:marLeft w:val="0"/>
                  <w:marRight w:val="0"/>
                  <w:marTop w:val="0"/>
                  <w:marBottom w:val="0"/>
                  <w:divBdr>
                    <w:top w:val="none" w:sz="0" w:space="0" w:color="auto"/>
                    <w:left w:val="none" w:sz="0" w:space="0" w:color="auto"/>
                    <w:bottom w:val="none" w:sz="0" w:space="0" w:color="auto"/>
                    <w:right w:val="none" w:sz="0" w:space="0" w:color="auto"/>
                  </w:divBdr>
                </w:div>
              </w:divsChild>
            </w:div>
            <w:div w:id="1198350878">
              <w:marLeft w:val="0"/>
              <w:marRight w:val="0"/>
              <w:marTop w:val="0"/>
              <w:marBottom w:val="0"/>
              <w:divBdr>
                <w:top w:val="none" w:sz="0" w:space="0" w:color="auto"/>
                <w:left w:val="none" w:sz="0" w:space="0" w:color="auto"/>
                <w:bottom w:val="none" w:sz="0" w:space="0" w:color="auto"/>
                <w:right w:val="none" w:sz="0" w:space="0" w:color="auto"/>
              </w:divBdr>
              <w:divsChild>
                <w:div w:id="93015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532645">
          <w:marLeft w:val="0"/>
          <w:marRight w:val="0"/>
          <w:marTop w:val="0"/>
          <w:marBottom w:val="0"/>
          <w:divBdr>
            <w:top w:val="none" w:sz="0" w:space="0" w:color="auto"/>
            <w:left w:val="none" w:sz="0" w:space="0" w:color="auto"/>
            <w:bottom w:val="none" w:sz="0" w:space="0" w:color="auto"/>
            <w:right w:val="none" w:sz="0" w:space="0" w:color="auto"/>
          </w:divBdr>
        </w:div>
      </w:divsChild>
    </w:div>
    <w:div w:id="697046231">
      <w:bodyDiv w:val="1"/>
      <w:marLeft w:val="0"/>
      <w:marRight w:val="0"/>
      <w:marTop w:val="0"/>
      <w:marBottom w:val="0"/>
      <w:divBdr>
        <w:top w:val="none" w:sz="0" w:space="0" w:color="auto"/>
        <w:left w:val="none" w:sz="0" w:space="0" w:color="auto"/>
        <w:bottom w:val="none" w:sz="0" w:space="0" w:color="auto"/>
        <w:right w:val="none" w:sz="0" w:space="0" w:color="auto"/>
      </w:divBdr>
    </w:div>
    <w:div w:id="707338954">
      <w:bodyDiv w:val="1"/>
      <w:marLeft w:val="0"/>
      <w:marRight w:val="0"/>
      <w:marTop w:val="0"/>
      <w:marBottom w:val="0"/>
      <w:divBdr>
        <w:top w:val="none" w:sz="0" w:space="0" w:color="auto"/>
        <w:left w:val="none" w:sz="0" w:space="0" w:color="auto"/>
        <w:bottom w:val="none" w:sz="0" w:space="0" w:color="auto"/>
        <w:right w:val="none" w:sz="0" w:space="0" w:color="auto"/>
      </w:divBdr>
    </w:div>
    <w:div w:id="732627992">
      <w:bodyDiv w:val="1"/>
      <w:marLeft w:val="0"/>
      <w:marRight w:val="0"/>
      <w:marTop w:val="0"/>
      <w:marBottom w:val="0"/>
      <w:divBdr>
        <w:top w:val="none" w:sz="0" w:space="0" w:color="auto"/>
        <w:left w:val="none" w:sz="0" w:space="0" w:color="auto"/>
        <w:bottom w:val="none" w:sz="0" w:space="0" w:color="auto"/>
        <w:right w:val="none" w:sz="0" w:space="0" w:color="auto"/>
      </w:divBdr>
    </w:div>
    <w:div w:id="740906987">
      <w:bodyDiv w:val="1"/>
      <w:marLeft w:val="0"/>
      <w:marRight w:val="0"/>
      <w:marTop w:val="0"/>
      <w:marBottom w:val="0"/>
      <w:divBdr>
        <w:top w:val="none" w:sz="0" w:space="0" w:color="auto"/>
        <w:left w:val="none" w:sz="0" w:space="0" w:color="auto"/>
        <w:bottom w:val="none" w:sz="0" w:space="0" w:color="auto"/>
        <w:right w:val="none" w:sz="0" w:space="0" w:color="auto"/>
      </w:divBdr>
    </w:div>
    <w:div w:id="758673622">
      <w:bodyDiv w:val="1"/>
      <w:marLeft w:val="0"/>
      <w:marRight w:val="0"/>
      <w:marTop w:val="0"/>
      <w:marBottom w:val="0"/>
      <w:divBdr>
        <w:top w:val="none" w:sz="0" w:space="0" w:color="auto"/>
        <w:left w:val="none" w:sz="0" w:space="0" w:color="auto"/>
        <w:bottom w:val="none" w:sz="0" w:space="0" w:color="auto"/>
        <w:right w:val="none" w:sz="0" w:space="0" w:color="auto"/>
      </w:divBdr>
    </w:div>
    <w:div w:id="778795965">
      <w:bodyDiv w:val="1"/>
      <w:marLeft w:val="0"/>
      <w:marRight w:val="0"/>
      <w:marTop w:val="0"/>
      <w:marBottom w:val="0"/>
      <w:divBdr>
        <w:top w:val="none" w:sz="0" w:space="0" w:color="auto"/>
        <w:left w:val="none" w:sz="0" w:space="0" w:color="auto"/>
        <w:bottom w:val="none" w:sz="0" w:space="0" w:color="auto"/>
        <w:right w:val="none" w:sz="0" w:space="0" w:color="auto"/>
      </w:divBdr>
    </w:div>
    <w:div w:id="818423217">
      <w:bodyDiv w:val="1"/>
      <w:marLeft w:val="0"/>
      <w:marRight w:val="0"/>
      <w:marTop w:val="0"/>
      <w:marBottom w:val="0"/>
      <w:divBdr>
        <w:top w:val="none" w:sz="0" w:space="0" w:color="auto"/>
        <w:left w:val="none" w:sz="0" w:space="0" w:color="auto"/>
        <w:bottom w:val="none" w:sz="0" w:space="0" w:color="auto"/>
        <w:right w:val="none" w:sz="0" w:space="0" w:color="auto"/>
      </w:divBdr>
    </w:div>
    <w:div w:id="822115318">
      <w:bodyDiv w:val="1"/>
      <w:marLeft w:val="0"/>
      <w:marRight w:val="0"/>
      <w:marTop w:val="0"/>
      <w:marBottom w:val="0"/>
      <w:divBdr>
        <w:top w:val="none" w:sz="0" w:space="0" w:color="auto"/>
        <w:left w:val="none" w:sz="0" w:space="0" w:color="auto"/>
        <w:bottom w:val="none" w:sz="0" w:space="0" w:color="auto"/>
        <w:right w:val="none" w:sz="0" w:space="0" w:color="auto"/>
      </w:divBdr>
    </w:div>
    <w:div w:id="825130087">
      <w:bodyDiv w:val="1"/>
      <w:marLeft w:val="0"/>
      <w:marRight w:val="0"/>
      <w:marTop w:val="0"/>
      <w:marBottom w:val="0"/>
      <w:divBdr>
        <w:top w:val="none" w:sz="0" w:space="0" w:color="auto"/>
        <w:left w:val="none" w:sz="0" w:space="0" w:color="auto"/>
        <w:bottom w:val="none" w:sz="0" w:space="0" w:color="auto"/>
        <w:right w:val="none" w:sz="0" w:space="0" w:color="auto"/>
      </w:divBdr>
    </w:div>
    <w:div w:id="831873311">
      <w:bodyDiv w:val="1"/>
      <w:marLeft w:val="0"/>
      <w:marRight w:val="0"/>
      <w:marTop w:val="0"/>
      <w:marBottom w:val="0"/>
      <w:divBdr>
        <w:top w:val="none" w:sz="0" w:space="0" w:color="auto"/>
        <w:left w:val="none" w:sz="0" w:space="0" w:color="auto"/>
        <w:bottom w:val="none" w:sz="0" w:space="0" w:color="auto"/>
        <w:right w:val="none" w:sz="0" w:space="0" w:color="auto"/>
      </w:divBdr>
    </w:div>
    <w:div w:id="941301063">
      <w:bodyDiv w:val="1"/>
      <w:marLeft w:val="0"/>
      <w:marRight w:val="0"/>
      <w:marTop w:val="0"/>
      <w:marBottom w:val="0"/>
      <w:divBdr>
        <w:top w:val="none" w:sz="0" w:space="0" w:color="auto"/>
        <w:left w:val="none" w:sz="0" w:space="0" w:color="auto"/>
        <w:bottom w:val="none" w:sz="0" w:space="0" w:color="auto"/>
        <w:right w:val="none" w:sz="0" w:space="0" w:color="auto"/>
      </w:divBdr>
    </w:div>
    <w:div w:id="953974580">
      <w:bodyDiv w:val="1"/>
      <w:marLeft w:val="0"/>
      <w:marRight w:val="0"/>
      <w:marTop w:val="0"/>
      <w:marBottom w:val="0"/>
      <w:divBdr>
        <w:top w:val="none" w:sz="0" w:space="0" w:color="auto"/>
        <w:left w:val="none" w:sz="0" w:space="0" w:color="auto"/>
        <w:bottom w:val="none" w:sz="0" w:space="0" w:color="auto"/>
        <w:right w:val="none" w:sz="0" w:space="0" w:color="auto"/>
      </w:divBdr>
    </w:div>
    <w:div w:id="981271435">
      <w:bodyDiv w:val="1"/>
      <w:marLeft w:val="0"/>
      <w:marRight w:val="0"/>
      <w:marTop w:val="0"/>
      <w:marBottom w:val="0"/>
      <w:divBdr>
        <w:top w:val="none" w:sz="0" w:space="0" w:color="auto"/>
        <w:left w:val="none" w:sz="0" w:space="0" w:color="auto"/>
        <w:bottom w:val="none" w:sz="0" w:space="0" w:color="auto"/>
        <w:right w:val="none" w:sz="0" w:space="0" w:color="auto"/>
      </w:divBdr>
    </w:div>
    <w:div w:id="1031154508">
      <w:bodyDiv w:val="1"/>
      <w:marLeft w:val="0"/>
      <w:marRight w:val="0"/>
      <w:marTop w:val="0"/>
      <w:marBottom w:val="0"/>
      <w:divBdr>
        <w:top w:val="none" w:sz="0" w:space="0" w:color="auto"/>
        <w:left w:val="none" w:sz="0" w:space="0" w:color="auto"/>
        <w:bottom w:val="none" w:sz="0" w:space="0" w:color="auto"/>
        <w:right w:val="none" w:sz="0" w:space="0" w:color="auto"/>
      </w:divBdr>
    </w:div>
    <w:div w:id="1048842191">
      <w:bodyDiv w:val="1"/>
      <w:marLeft w:val="0"/>
      <w:marRight w:val="0"/>
      <w:marTop w:val="0"/>
      <w:marBottom w:val="0"/>
      <w:divBdr>
        <w:top w:val="none" w:sz="0" w:space="0" w:color="auto"/>
        <w:left w:val="none" w:sz="0" w:space="0" w:color="auto"/>
        <w:bottom w:val="none" w:sz="0" w:space="0" w:color="auto"/>
        <w:right w:val="none" w:sz="0" w:space="0" w:color="auto"/>
      </w:divBdr>
    </w:div>
    <w:div w:id="1051075083">
      <w:bodyDiv w:val="1"/>
      <w:marLeft w:val="0"/>
      <w:marRight w:val="0"/>
      <w:marTop w:val="0"/>
      <w:marBottom w:val="0"/>
      <w:divBdr>
        <w:top w:val="none" w:sz="0" w:space="0" w:color="auto"/>
        <w:left w:val="none" w:sz="0" w:space="0" w:color="auto"/>
        <w:bottom w:val="none" w:sz="0" w:space="0" w:color="auto"/>
        <w:right w:val="none" w:sz="0" w:space="0" w:color="auto"/>
      </w:divBdr>
    </w:div>
    <w:div w:id="1055545237">
      <w:bodyDiv w:val="1"/>
      <w:marLeft w:val="0"/>
      <w:marRight w:val="0"/>
      <w:marTop w:val="0"/>
      <w:marBottom w:val="0"/>
      <w:divBdr>
        <w:top w:val="none" w:sz="0" w:space="0" w:color="auto"/>
        <w:left w:val="none" w:sz="0" w:space="0" w:color="auto"/>
        <w:bottom w:val="none" w:sz="0" w:space="0" w:color="auto"/>
        <w:right w:val="none" w:sz="0" w:space="0" w:color="auto"/>
      </w:divBdr>
    </w:div>
    <w:div w:id="1058671468">
      <w:bodyDiv w:val="1"/>
      <w:marLeft w:val="0"/>
      <w:marRight w:val="0"/>
      <w:marTop w:val="0"/>
      <w:marBottom w:val="0"/>
      <w:divBdr>
        <w:top w:val="none" w:sz="0" w:space="0" w:color="auto"/>
        <w:left w:val="none" w:sz="0" w:space="0" w:color="auto"/>
        <w:bottom w:val="none" w:sz="0" w:space="0" w:color="auto"/>
        <w:right w:val="none" w:sz="0" w:space="0" w:color="auto"/>
      </w:divBdr>
    </w:div>
    <w:div w:id="1080060377">
      <w:bodyDiv w:val="1"/>
      <w:marLeft w:val="0"/>
      <w:marRight w:val="0"/>
      <w:marTop w:val="0"/>
      <w:marBottom w:val="0"/>
      <w:divBdr>
        <w:top w:val="none" w:sz="0" w:space="0" w:color="auto"/>
        <w:left w:val="none" w:sz="0" w:space="0" w:color="auto"/>
        <w:bottom w:val="none" w:sz="0" w:space="0" w:color="auto"/>
        <w:right w:val="none" w:sz="0" w:space="0" w:color="auto"/>
      </w:divBdr>
    </w:div>
    <w:div w:id="1101878636">
      <w:bodyDiv w:val="1"/>
      <w:marLeft w:val="0"/>
      <w:marRight w:val="0"/>
      <w:marTop w:val="0"/>
      <w:marBottom w:val="0"/>
      <w:divBdr>
        <w:top w:val="none" w:sz="0" w:space="0" w:color="auto"/>
        <w:left w:val="none" w:sz="0" w:space="0" w:color="auto"/>
        <w:bottom w:val="none" w:sz="0" w:space="0" w:color="auto"/>
        <w:right w:val="none" w:sz="0" w:space="0" w:color="auto"/>
      </w:divBdr>
    </w:div>
    <w:div w:id="1120951617">
      <w:bodyDiv w:val="1"/>
      <w:marLeft w:val="0"/>
      <w:marRight w:val="0"/>
      <w:marTop w:val="0"/>
      <w:marBottom w:val="0"/>
      <w:divBdr>
        <w:top w:val="none" w:sz="0" w:space="0" w:color="auto"/>
        <w:left w:val="none" w:sz="0" w:space="0" w:color="auto"/>
        <w:bottom w:val="none" w:sz="0" w:space="0" w:color="auto"/>
        <w:right w:val="none" w:sz="0" w:space="0" w:color="auto"/>
      </w:divBdr>
    </w:div>
    <w:div w:id="1122574537">
      <w:bodyDiv w:val="1"/>
      <w:marLeft w:val="0"/>
      <w:marRight w:val="0"/>
      <w:marTop w:val="0"/>
      <w:marBottom w:val="0"/>
      <w:divBdr>
        <w:top w:val="none" w:sz="0" w:space="0" w:color="auto"/>
        <w:left w:val="none" w:sz="0" w:space="0" w:color="auto"/>
        <w:bottom w:val="none" w:sz="0" w:space="0" w:color="auto"/>
        <w:right w:val="none" w:sz="0" w:space="0" w:color="auto"/>
      </w:divBdr>
    </w:div>
    <w:div w:id="1123307838">
      <w:bodyDiv w:val="1"/>
      <w:marLeft w:val="0"/>
      <w:marRight w:val="0"/>
      <w:marTop w:val="0"/>
      <w:marBottom w:val="0"/>
      <w:divBdr>
        <w:top w:val="none" w:sz="0" w:space="0" w:color="auto"/>
        <w:left w:val="none" w:sz="0" w:space="0" w:color="auto"/>
        <w:bottom w:val="none" w:sz="0" w:space="0" w:color="auto"/>
        <w:right w:val="none" w:sz="0" w:space="0" w:color="auto"/>
      </w:divBdr>
    </w:div>
    <w:div w:id="1217858834">
      <w:bodyDiv w:val="1"/>
      <w:marLeft w:val="0"/>
      <w:marRight w:val="0"/>
      <w:marTop w:val="0"/>
      <w:marBottom w:val="0"/>
      <w:divBdr>
        <w:top w:val="none" w:sz="0" w:space="0" w:color="auto"/>
        <w:left w:val="none" w:sz="0" w:space="0" w:color="auto"/>
        <w:bottom w:val="none" w:sz="0" w:space="0" w:color="auto"/>
        <w:right w:val="none" w:sz="0" w:space="0" w:color="auto"/>
      </w:divBdr>
    </w:div>
    <w:div w:id="1370914060">
      <w:bodyDiv w:val="1"/>
      <w:marLeft w:val="0"/>
      <w:marRight w:val="0"/>
      <w:marTop w:val="0"/>
      <w:marBottom w:val="0"/>
      <w:divBdr>
        <w:top w:val="none" w:sz="0" w:space="0" w:color="auto"/>
        <w:left w:val="none" w:sz="0" w:space="0" w:color="auto"/>
        <w:bottom w:val="none" w:sz="0" w:space="0" w:color="auto"/>
        <w:right w:val="none" w:sz="0" w:space="0" w:color="auto"/>
      </w:divBdr>
    </w:div>
    <w:div w:id="1383408798">
      <w:bodyDiv w:val="1"/>
      <w:marLeft w:val="0"/>
      <w:marRight w:val="0"/>
      <w:marTop w:val="0"/>
      <w:marBottom w:val="0"/>
      <w:divBdr>
        <w:top w:val="none" w:sz="0" w:space="0" w:color="auto"/>
        <w:left w:val="none" w:sz="0" w:space="0" w:color="auto"/>
        <w:bottom w:val="none" w:sz="0" w:space="0" w:color="auto"/>
        <w:right w:val="none" w:sz="0" w:space="0" w:color="auto"/>
      </w:divBdr>
    </w:div>
    <w:div w:id="1399329681">
      <w:bodyDiv w:val="1"/>
      <w:marLeft w:val="0"/>
      <w:marRight w:val="0"/>
      <w:marTop w:val="0"/>
      <w:marBottom w:val="0"/>
      <w:divBdr>
        <w:top w:val="none" w:sz="0" w:space="0" w:color="auto"/>
        <w:left w:val="none" w:sz="0" w:space="0" w:color="auto"/>
        <w:bottom w:val="none" w:sz="0" w:space="0" w:color="auto"/>
        <w:right w:val="none" w:sz="0" w:space="0" w:color="auto"/>
      </w:divBdr>
    </w:div>
    <w:div w:id="1414543422">
      <w:bodyDiv w:val="1"/>
      <w:marLeft w:val="0"/>
      <w:marRight w:val="0"/>
      <w:marTop w:val="0"/>
      <w:marBottom w:val="0"/>
      <w:divBdr>
        <w:top w:val="none" w:sz="0" w:space="0" w:color="auto"/>
        <w:left w:val="none" w:sz="0" w:space="0" w:color="auto"/>
        <w:bottom w:val="none" w:sz="0" w:space="0" w:color="auto"/>
        <w:right w:val="none" w:sz="0" w:space="0" w:color="auto"/>
      </w:divBdr>
    </w:div>
    <w:div w:id="1419984276">
      <w:bodyDiv w:val="1"/>
      <w:marLeft w:val="0"/>
      <w:marRight w:val="0"/>
      <w:marTop w:val="0"/>
      <w:marBottom w:val="0"/>
      <w:divBdr>
        <w:top w:val="none" w:sz="0" w:space="0" w:color="auto"/>
        <w:left w:val="none" w:sz="0" w:space="0" w:color="auto"/>
        <w:bottom w:val="none" w:sz="0" w:space="0" w:color="auto"/>
        <w:right w:val="none" w:sz="0" w:space="0" w:color="auto"/>
      </w:divBdr>
    </w:div>
    <w:div w:id="1461412321">
      <w:bodyDiv w:val="1"/>
      <w:marLeft w:val="0"/>
      <w:marRight w:val="0"/>
      <w:marTop w:val="0"/>
      <w:marBottom w:val="0"/>
      <w:divBdr>
        <w:top w:val="none" w:sz="0" w:space="0" w:color="auto"/>
        <w:left w:val="none" w:sz="0" w:space="0" w:color="auto"/>
        <w:bottom w:val="none" w:sz="0" w:space="0" w:color="auto"/>
        <w:right w:val="none" w:sz="0" w:space="0" w:color="auto"/>
      </w:divBdr>
    </w:div>
    <w:div w:id="1507937456">
      <w:bodyDiv w:val="1"/>
      <w:marLeft w:val="0"/>
      <w:marRight w:val="0"/>
      <w:marTop w:val="0"/>
      <w:marBottom w:val="0"/>
      <w:divBdr>
        <w:top w:val="none" w:sz="0" w:space="0" w:color="auto"/>
        <w:left w:val="none" w:sz="0" w:space="0" w:color="auto"/>
        <w:bottom w:val="none" w:sz="0" w:space="0" w:color="auto"/>
        <w:right w:val="none" w:sz="0" w:space="0" w:color="auto"/>
      </w:divBdr>
    </w:div>
    <w:div w:id="1530217518">
      <w:bodyDiv w:val="1"/>
      <w:marLeft w:val="0"/>
      <w:marRight w:val="0"/>
      <w:marTop w:val="0"/>
      <w:marBottom w:val="0"/>
      <w:divBdr>
        <w:top w:val="none" w:sz="0" w:space="0" w:color="auto"/>
        <w:left w:val="none" w:sz="0" w:space="0" w:color="auto"/>
        <w:bottom w:val="none" w:sz="0" w:space="0" w:color="auto"/>
        <w:right w:val="none" w:sz="0" w:space="0" w:color="auto"/>
      </w:divBdr>
    </w:div>
    <w:div w:id="1555385983">
      <w:bodyDiv w:val="1"/>
      <w:marLeft w:val="0"/>
      <w:marRight w:val="0"/>
      <w:marTop w:val="0"/>
      <w:marBottom w:val="0"/>
      <w:divBdr>
        <w:top w:val="none" w:sz="0" w:space="0" w:color="auto"/>
        <w:left w:val="none" w:sz="0" w:space="0" w:color="auto"/>
        <w:bottom w:val="none" w:sz="0" w:space="0" w:color="auto"/>
        <w:right w:val="none" w:sz="0" w:space="0" w:color="auto"/>
      </w:divBdr>
    </w:div>
    <w:div w:id="1573542354">
      <w:bodyDiv w:val="1"/>
      <w:marLeft w:val="0"/>
      <w:marRight w:val="0"/>
      <w:marTop w:val="0"/>
      <w:marBottom w:val="0"/>
      <w:divBdr>
        <w:top w:val="none" w:sz="0" w:space="0" w:color="auto"/>
        <w:left w:val="none" w:sz="0" w:space="0" w:color="auto"/>
        <w:bottom w:val="none" w:sz="0" w:space="0" w:color="auto"/>
        <w:right w:val="none" w:sz="0" w:space="0" w:color="auto"/>
      </w:divBdr>
    </w:div>
    <w:div w:id="1575778181">
      <w:bodyDiv w:val="1"/>
      <w:marLeft w:val="0"/>
      <w:marRight w:val="0"/>
      <w:marTop w:val="0"/>
      <w:marBottom w:val="0"/>
      <w:divBdr>
        <w:top w:val="none" w:sz="0" w:space="0" w:color="auto"/>
        <w:left w:val="none" w:sz="0" w:space="0" w:color="auto"/>
        <w:bottom w:val="none" w:sz="0" w:space="0" w:color="auto"/>
        <w:right w:val="none" w:sz="0" w:space="0" w:color="auto"/>
      </w:divBdr>
    </w:div>
    <w:div w:id="1631401505">
      <w:bodyDiv w:val="1"/>
      <w:marLeft w:val="0"/>
      <w:marRight w:val="0"/>
      <w:marTop w:val="0"/>
      <w:marBottom w:val="0"/>
      <w:divBdr>
        <w:top w:val="none" w:sz="0" w:space="0" w:color="auto"/>
        <w:left w:val="none" w:sz="0" w:space="0" w:color="auto"/>
        <w:bottom w:val="none" w:sz="0" w:space="0" w:color="auto"/>
        <w:right w:val="none" w:sz="0" w:space="0" w:color="auto"/>
      </w:divBdr>
    </w:div>
    <w:div w:id="1634825620">
      <w:bodyDiv w:val="1"/>
      <w:marLeft w:val="0"/>
      <w:marRight w:val="0"/>
      <w:marTop w:val="0"/>
      <w:marBottom w:val="0"/>
      <w:divBdr>
        <w:top w:val="none" w:sz="0" w:space="0" w:color="auto"/>
        <w:left w:val="none" w:sz="0" w:space="0" w:color="auto"/>
        <w:bottom w:val="none" w:sz="0" w:space="0" w:color="auto"/>
        <w:right w:val="none" w:sz="0" w:space="0" w:color="auto"/>
      </w:divBdr>
    </w:div>
    <w:div w:id="1669598686">
      <w:bodyDiv w:val="1"/>
      <w:marLeft w:val="0"/>
      <w:marRight w:val="0"/>
      <w:marTop w:val="0"/>
      <w:marBottom w:val="0"/>
      <w:divBdr>
        <w:top w:val="none" w:sz="0" w:space="0" w:color="auto"/>
        <w:left w:val="none" w:sz="0" w:space="0" w:color="auto"/>
        <w:bottom w:val="none" w:sz="0" w:space="0" w:color="auto"/>
        <w:right w:val="none" w:sz="0" w:space="0" w:color="auto"/>
      </w:divBdr>
    </w:div>
    <w:div w:id="1730497682">
      <w:bodyDiv w:val="1"/>
      <w:marLeft w:val="0"/>
      <w:marRight w:val="0"/>
      <w:marTop w:val="0"/>
      <w:marBottom w:val="0"/>
      <w:divBdr>
        <w:top w:val="none" w:sz="0" w:space="0" w:color="auto"/>
        <w:left w:val="none" w:sz="0" w:space="0" w:color="auto"/>
        <w:bottom w:val="none" w:sz="0" w:space="0" w:color="auto"/>
        <w:right w:val="none" w:sz="0" w:space="0" w:color="auto"/>
      </w:divBdr>
    </w:div>
    <w:div w:id="1747725429">
      <w:bodyDiv w:val="1"/>
      <w:marLeft w:val="0"/>
      <w:marRight w:val="0"/>
      <w:marTop w:val="0"/>
      <w:marBottom w:val="0"/>
      <w:divBdr>
        <w:top w:val="none" w:sz="0" w:space="0" w:color="auto"/>
        <w:left w:val="none" w:sz="0" w:space="0" w:color="auto"/>
        <w:bottom w:val="none" w:sz="0" w:space="0" w:color="auto"/>
        <w:right w:val="none" w:sz="0" w:space="0" w:color="auto"/>
      </w:divBdr>
    </w:div>
    <w:div w:id="1761103083">
      <w:bodyDiv w:val="1"/>
      <w:marLeft w:val="0"/>
      <w:marRight w:val="0"/>
      <w:marTop w:val="0"/>
      <w:marBottom w:val="0"/>
      <w:divBdr>
        <w:top w:val="none" w:sz="0" w:space="0" w:color="auto"/>
        <w:left w:val="none" w:sz="0" w:space="0" w:color="auto"/>
        <w:bottom w:val="none" w:sz="0" w:space="0" w:color="auto"/>
        <w:right w:val="none" w:sz="0" w:space="0" w:color="auto"/>
      </w:divBdr>
    </w:div>
    <w:div w:id="1781412509">
      <w:bodyDiv w:val="1"/>
      <w:marLeft w:val="0"/>
      <w:marRight w:val="0"/>
      <w:marTop w:val="0"/>
      <w:marBottom w:val="0"/>
      <w:divBdr>
        <w:top w:val="none" w:sz="0" w:space="0" w:color="auto"/>
        <w:left w:val="none" w:sz="0" w:space="0" w:color="auto"/>
        <w:bottom w:val="none" w:sz="0" w:space="0" w:color="auto"/>
        <w:right w:val="none" w:sz="0" w:space="0" w:color="auto"/>
      </w:divBdr>
    </w:div>
    <w:div w:id="1796365737">
      <w:bodyDiv w:val="1"/>
      <w:marLeft w:val="0"/>
      <w:marRight w:val="0"/>
      <w:marTop w:val="0"/>
      <w:marBottom w:val="0"/>
      <w:divBdr>
        <w:top w:val="none" w:sz="0" w:space="0" w:color="auto"/>
        <w:left w:val="none" w:sz="0" w:space="0" w:color="auto"/>
        <w:bottom w:val="none" w:sz="0" w:space="0" w:color="auto"/>
        <w:right w:val="none" w:sz="0" w:space="0" w:color="auto"/>
      </w:divBdr>
    </w:div>
    <w:div w:id="1803961089">
      <w:bodyDiv w:val="1"/>
      <w:marLeft w:val="0"/>
      <w:marRight w:val="0"/>
      <w:marTop w:val="0"/>
      <w:marBottom w:val="0"/>
      <w:divBdr>
        <w:top w:val="none" w:sz="0" w:space="0" w:color="auto"/>
        <w:left w:val="none" w:sz="0" w:space="0" w:color="auto"/>
        <w:bottom w:val="none" w:sz="0" w:space="0" w:color="auto"/>
        <w:right w:val="none" w:sz="0" w:space="0" w:color="auto"/>
      </w:divBdr>
    </w:div>
    <w:div w:id="1807508539">
      <w:bodyDiv w:val="1"/>
      <w:marLeft w:val="0"/>
      <w:marRight w:val="0"/>
      <w:marTop w:val="0"/>
      <w:marBottom w:val="0"/>
      <w:divBdr>
        <w:top w:val="none" w:sz="0" w:space="0" w:color="auto"/>
        <w:left w:val="none" w:sz="0" w:space="0" w:color="auto"/>
        <w:bottom w:val="none" w:sz="0" w:space="0" w:color="auto"/>
        <w:right w:val="none" w:sz="0" w:space="0" w:color="auto"/>
      </w:divBdr>
    </w:div>
    <w:div w:id="1844389586">
      <w:bodyDiv w:val="1"/>
      <w:marLeft w:val="0"/>
      <w:marRight w:val="0"/>
      <w:marTop w:val="0"/>
      <w:marBottom w:val="0"/>
      <w:divBdr>
        <w:top w:val="none" w:sz="0" w:space="0" w:color="auto"/>
        <w:left w:val="none" w:sz="0" w:space="0" w:color="auto"/>
        <w:bottom w:val="none" w:sz="0" w:space="0" w:color="auto"/>
        <w:right w:val="none" w:sz="0" w:space="0" w:color="auto"/>
      </w:divBdr>
    </w:div>
    <w:div w:id="1863320968">
      <w:bodyDiv w:val="1"/>
      <w:marLeft w:val="0"/>
      <w:marRight w:val="0"/>
      <w:marTop w:val="0"/>
      <w:marBottom w:val="0"/>
      <w:divBdr>
        <w:top w:val="none" w:sz="0" w:space="0" w:color="auto"/>
        <w:left w:val="none" w:sz="0" w:space="0" w:color="auto"/>
        <w:bottom w:val="none" w:sz="0" w:space="0" w:color="auto"/>
        <w:right w:val="none" w:sz="0" w:space="0" w:color="auto"/>
      </w:divBdr>
    </w:div>
    <w:div w:id="1921059648">
      <w:bodyDiv w:val="1"/>
      <w:marLeft w:val="0"/>
      <w:marRight w:val="0"/>
      <w:marTop w:val="0"/>
      <w:marBottom w:val="0"/>
      <w:divBdr>
        <w:top w:val="none" w:sz="0" w:space="0" w:color="auto"/>
        <w:left w:val="none" w:sz="0" w:space="0" w:color="auto"/>
        <w:bottom w:val="none" w:sz="0" w:space="0" w:color="auto"/>
        <w:right w:val="none" w:sz="0" w:space="0" w:color="auto"/>
      </w:divBdr>
    </w:div>
    <w:div w:id="1923906873">
      <w:bodyDiv w:val="1"/>
      <w:marLeft w:val="0"/>
      <w:marRight w:val="0"/>
      <w:marTop w:val="0"/>
      <w:marBottom w:val="0"/>
      <w:divBdr>
        <w:top w:val="none" w:sz="0" w:space="0" w:color="auto"/>
        <w:left w:val="none" w:sz="0" w:space="0" w:color="auto"/>
        <w:bottom w:val="none" w:sz="0" w:space="0" w:color="auto"/>
        <w:right w:val="none" w:sz="0" w:space="0" w:color="auto"/>
      </w:divBdr>
    </w:div>
    <w:div w:id="1928536614">
      <w:bodyDiv w:val="1"/>
      <w:marLeft w:val="0"/>
      <w:marRight w:val="0"/>
      <w:marTop w:val="0"/>
      <w:marBottom w:val="0"/>
      <w:divBdr>
        <w:top w:val="none" w:sz="0" w:space="0" w:color="auto"/>
        <w:left w:val="none" w:sz="0" w:space="0" w:color="auto"/>
        <w:bottom w:val="none" w:sz="0" w:space="0" w:color="auto"/>
        <w:right w:val="none" w:sz="0" w:space="0" w:color="auto"/>
      </w:divBdr>
    </w:div>
    <w:div w:id="1936787424">
      <w:bodyDiv w:val="1"/>
      <w:marLeft w:val="0"/>
      <w:marRight w:val="0"/>
      <w:marTop w:val="0"/>
      <w:marBottom w:val="0"/>
      <w:divBdr>
        <w:top w:val="none" w:sz="0" w:space="0" w:color="auto"/>
        <w:left w:val="none" w:sz="0" w:space="0" w:color="auto"/>
        <w:bottom w:val="none" w:sz="0" w:space="0" w:color="auto"/>
        <w:right w:val="none" w:sz="0" w:space="0" w:color="auto"/>
      </w:divBdr>
    </w:div>
    <w:div w:id="2009090278">
      <w:bodyDiv w:val="1"/>
      <w:marLeft w:val="0"/>
      <w:marRight w:val="0"/>
      <w:marTop w:val="0"/>
      <w:marBottom w:val="0"/>
      <w:divBdr>
        <w:top w:val="none" w:sz="0" w:space="0" w:color="auto"/>
        <w:left w:val="none" w:sz="0" w:space="0" w:color="auto"/>
        <w:bottom w:val="none" w:sz="0" w:space="0" w:color="auto"/>
        <w:right w:val="none" w:sz="0" w:space="0" w:color="auto"/>
      </w:divBdr>
    </w:div>
    <w:div w:id="2019234901">
      <w:bodyDiv w:val="1"/>
      <w:marLeft w:val="0"/>
      <w:marRight w:val="0"/>
      <w:marTop w:val="0"/>
      <w:marBottom w:val="0"/>
      <w:divBdr>
        <w:top w:val="none" w:sz="0" w:space="0" w:color="auto"/>
        <w:left w:val="none" w:sz="0" w:space="0" w:color="auto"/>
        <w:bottom w:val="none" w:sz="0" w:space="0" w:color="auto"/>
        <w:right w:val="none" w:sz="0" w:space="0" w:color="auto"/>
      </w:divBdr>
    </w:div>
    <w:div w:id="2019500013">
      <w:bodyDiv w:val="1"/>
      <w:marLeft w:val="0"/>
      <w:marRight w:val="0"/>
      <w:marTop w:val="0"/>
      <w:marBottom w:val="0"/>
      <w:divBdr>
        <w:top w:val="none" w:sz="0" w:space="0" w:color="auto"/>
        <w:left w:val="none" w:sz="0" w:space="0" w:color="auto"/>
        <w:bottom w:val="none" w:sz="0" w:space="0" w:color="auto"/>
        <w:right w:val="none" w:sz="0" w:space="0" w:color="auto"/>
      </w:divBdr>
      <w:divsChild>
        <w:div w:id="1054699569">
          <w:marLeft w:val="0"/>
          <w:marRight w:val="0"/>
          <w:marTop w:val="120"/>
          <w:marBottom w:val="120"/>
          <w:divBdr>
            <w:top w:val="none" w:sz="0" w:space="0" w:color="auto"/>
            <w:left w:val="none" w:sz="0" w:space="0" w:color="auto"/>
            <w:bottom w:val="none" w:sz="0" w:space="0" w:color="auto"/>
            <w:right w:val="none" w:sz="0" w:space="0" w:color="auto"/>
          </w:divBdr>
          <w:divsChild>
            <w:div w:id="52703806">
              <w:marLeft w:val="0"/>
              <w:marRight w:val="0"/>
              <w:marTop w:val="0"/>
              <w:marBottom w:val="0"/>
              <w:divBdr>
                <w:top w:val="none" w:sz="0" w:space="0" w:color="auto"/>
                <w:left w:val="none" w:sz="0" w:space="0" w:color="auto"/>
                <w:bottom w:val="none" w:sz="0" w:space="0" w:color="auto"/>
                <w:right w:val="none" w:sz="0" w:space="0" w:color="auto"/>
              </w:divBdr>
              <w:divsChild>
                <w:div w:id="1414861625">
                  <w:marLeft w:val="0"/>
                  <w:marRight w:val="0"/>
                  <w:marTop w:val="0"/>
                  <w:marBottom w:val="0"/>
                  <w:divBdr>
                    <w:top w:val="none" w:sz="0" w:space="0" w:color="auto"/>
                    <w:left w:val="none" w:sz="0" w:space="0" w:color="auto"/>
                    <w:bottom w:val="none" w:sz="0" w:space="0" w:color="auto"/>
                    <w:right w:val="none" w:sz="0" w:space="0" w:color="auto"/>
                  </w:divBdr>
                </w:div>
              </w:divsChild>
            </w:div>
            <w:div w:id="1130708494">
              <w:marLeft w:val="0"/>
              <w:marRight w:val="0"/>
              <w:marTop w:val="0"/>
              <w:marBottom w:val="0"/>
              <w:divBdr>
                <w:top w:val="none" w:sz="0" w:space="0" w:color="auto"/>
                <w:left w:val="none" w:sz="0" w:space="0" w:color="auto"/>
                <w:bottom w:val="none" w:sz="0" w:space="0" w:color="auto"/>
                <w:right w:val="none" w:sz="0" w:space="0" w:color="auto"/>
              </w:divBdr>
              <w:divsChild>
                <w:div w:id="28928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426272">
          <w:marLeft w:val="0"/>
          <w:marRight w:val="0"/>
          <w:marTop w:val="0"/>
          <w:marBottom w:val="0"/>
          <w:divBdr>
            <w:top w:val="none" w:sz="0" w:space="0" w:color="auto"/>
            <w:left w:val="none" w:sz="0" w:space="0" w:color="auto"/>
            <w:bottom w:val="none" w:sz="0" w:space="0" w:color="auto"/>
            <w:right w:val="none" w:sz="0" w:space="0" w:color="auto"/>
          </w:divBdr>
        </w:div>
      </w:divsChild>
    </w:div>
    <w:div w:id="2057586318">
      <w:bodyDiv w:val="1"/>
      <w:marLeft w:val="0"/>
      <w:marRight w:val="0"/>
      <w:marTop w:val="0"/>
      <w:marBottom w:val="0"/>
      <w:divBdr>
        <w:top w:val="none" w:sz="0" w:space="0" w:color="auto"/>
        <w:left w:val="none" w:sz="0" w:space="0" w:color="auto"/>
        <w:bottom w:val="none" w:sz="0" w:space="0" w:color="auto"/>
        <w:right w:val="none" w:sz="0" w:space="0" w:color="auto"/>
      </w:divBdr>
    </w:div>
    <w:div w:id="2093040011">
      <w:bodyDiv w:val="1"/>
      <w:marLeft w:val="0"/>
      <w:marRight w:val="0"/>
      <w:marTop w:val="0"/>
      <w:marBottom w:val="0"/>
      <w:divBdr>
        <w:top w:val="none" w:sz="0" w:space="0" w:color="auto"/>
        <w:left w:val="none" w:sz="0" w:space="0" w:color="auto"/>
        <w:bottom w:val="none" w:sz="0" w:space="0" w:color="auto"/>
        <w:right w:val="none" w:sz="0" w:space="0" w:color="auto"/>
      </w:divBdr>
    </w:div>
    <w:div w:id="2144614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ibrary.municode.com/or/tualatin/codes/development_code?nodeId=THDECOTUOR_CH32PR_TDC_32.230TYIIPRQUDIREUBHE"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ibrary.municode.com/or/tualatin/codes/development_code?nodeId=THDECOTUOR_CH32PR_TDC_32.230TYIIPRQUDIREUBHE"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rary.municode.com/or/tualatin/codes/development_code?nodeId=THDECOTUOR_CH32PR_TDC_32.160CORE" TargetMode="External"/><Relationship Id="rId5" Type="http://schemas.openxmlformats.org/officeDocument/2006/relationships/webSettings" Target="webSettings.xml"/><Relationship Id="rId15" Type="http://schemas.openxmlformats.org/officeDocument/2006/relationships/hyperlink" Target="https://library.municode.com/or/tualatin/codes/development_code?nodeId=THDECOTUOR_CH32PR_TDC_32.310APRERE" TargetMode="External"/><Relationship Id="rId10" Type="http://schemas.openxmlformats.org/officeDocument/2006/relationships/hyperlink" Target="https://library.municode.com/or/tualatin/codes/development_code?nodeId=THDECOTUOR_CH32PR_TDC_32.140APS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library.municode.com/or/tualatin/codes/development_code?nodeId=THDECOTUOR_CH32PR_TDC_32.030TIPRAP"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CCC80A-AE00-4E68-A07A-32BFC1A2B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1254</TotalTime>
  <Pages>26</Pages>
  <Words>11761</Words>
  <Characters>61363</Characters>
  <Application>Microsoft Office Word</Application>
  <DocSecurity>0</DocSecurity>
  <Lines>5113</Lines>
  <Paragraphs>4570</Paragraphs>
  <ScaleCrop>false</ScaleCrop>
  <HeadingPairs>
    <vt:vector size="2" baseType="variant">
      <vt:variant>
        <vt:lpstr>Title</vt:lpstr>
      </vt:variant>
      <vt:variant>
        <vt:i4>1</vt:i4>
      </vt:variant>
    </vt:vector>
  </HeadingPairs>
  <TitlesOfParts>
    <vt:vector size="1" baseType="lpstr">
      <vt:lpstr>AR Standard Decision Template</vt:lpstr>
    </vt:vector>
  </TitlesOfParts>
  <Manager>Aquilla Hurd-Ravich, AICP</Manager>
  <Company>City of Tualatin</Company>
  <LinksUpToDate>false</LinksUpToDate>
  <CharactersWithSpaces>68554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 Standard Decision Template</dc:title>
  <dc:subject>Decision Template</dc:subject>
  <dc:creator>Charles Benson</dc:creator>
  <cp:keywords>AR; AF; template; Planning Division</cp:keywords>
  <dc:description/>
  <cp:lastModifiedBy>Madeleine Nelson</cp:lastModifiedBy>
  <cp:revision>251</cp:revision>
  <cp:lastPrinted>2018-12-20T19:59:00Z</cp:lastPrinted>
  <dcterms:created xsi:type="dcterms:W3CDTF">2021-11-10T20:15:00Z</dcterms:created>
  <dcterms:modified xsi:type="dcterms:W3CDTF">2024-12-10T22:07:00Z</dcterms:modified>
  <cp:category>AR</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f7c16c5ddd44d8ccdd0a7f8dce2eaaf2e739a22b890775faaf0ba89d2fc56ac3</vt:lpwstr>
  </property>
</Properties>
</file>