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A21859" w14:paraId="71F15830" w14:textId="77777777" w:rsidTr="004B2DA2">
        <w:tc>
          <w:tcPr>
            <w:tcW w:w="1975" w:type="dxa"/>
          </w:tcPr>
          <w:p w14:paraId="478BE70D" w14:textId="582F1C40" w:rsidR="00A21859" w:rsidRDefault="00865008" w:rsidP="003C6254">
            <w:r>
              <w:rPr>
                <w:noProof/>
              </w:rPr>
              <w:drawing>
                <wp:inline distT="0" distB="0" distL="0" distR="0" wp14:anchorId="225B9DB1" wp14:editId="62BA176D">
                  <wp:extent cx="855023" cy="1243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576" cy="1247383"/>
                          </a:xfrm>
                          <a:prstGeom prst="rect">
                            <a:avLst/>
                          </a:prstGeom>
                        </pic:spPr>
                      </pic:pic>
                    </a:graphicData>
                  </a:graphic>
                </wp:inline>
              </w:drawing>
            </w:r>
          </w:p>
        </w:tc>
        <w:tc>
          <w:tcPr>
            <w:tcW w:w="7375" w:type="dxa"/>
          </w:tcPr>
          <w:p w14:paraId="616487DE" w14:textId="77777777" w:rsidR="005C4BB8" w:rsidRDefault="005C4BB8" w:rsidP="004B2DA2">
            <w:pPr>
              <w:jc w:val="center"/>
              <w:rPr>
                <w:b/>
                <w:sz w:val="28"/>
                <w:szCs w:val="28"/>
              </w:rPr>
            </w:pPr>
          </w:p>
          <w:p w14:paraId="27F72A45" w14:textId="77777777" w:rsidR="00865008" w:rsidRPr="006B5591" w:rsidRDefault="00865008" w:rsidP="004B2DA2">
            <w:pPr>
              <w:jc w:val="center"/>
              <w:rPr>
                <w:b/>
                <w:color w:val="085771"/>
                <w:sz w:val="36"/>
                <w:szCs w:val="36"/>
              </w:rPr>
            </w:pPr>
            <w:r w:rsidRPr="006B5591">
              <w:rPr>
                <w:b/>
                <w:color w:val="085771"/>
                <w:sz w:val="36"/>
                <w:szCs w:val="36"/>
              </w:rPr>
              <w:t>CITY OF TUALATIN</w:t>
            </w:r>
          </w:p>
          <w:p w14:paraId="496B93AF" w14:textId="2E73B518" w:rsidR="00A21859" w:rsidRPr="006B5591" w:rsidRDefault="00621ACA" w:rsidP="004B2DA2">
            <w:pPr>
              <w:jc w:val="center"/>
              <w:rPr>
                <w:sz w:val="28"/>
                <w:szCs w:val="28"/>
              </w:rPr>
            </w:pPr>
            <w:r w:rsidRPr="006B5591">
              <w:rPr>
                <w:sz w:val="28"/>
                <w:szCs w:val="28"/>
              </w:rPr>
              <w:t>Staff Report</w:t>
            </w:r>
          </w:p>
          <w:p w14:paraId="5D2BBCA8" w14:textId="6B2C9C88" w:rsidR="004B2DA2" w:rsidRPr="004B2DA2" w:rsidRDefault="004B2DA2" w:rsidP="004B2DA2">
            <w:pPr>
              <w:jc w:val="center"/>
            </w:pPr>
          </w:p>
        </w:tc>
      </w:tr>
    </w:tbl>
    <w:p w14:paraId="40594DDA" w14:textId="227682CB" w:rsidR="00D906F2" w:rsidRDefault="00D906F2" w:rsidP="005C4BB8">
      <w:pPr>
        <w:pStyle w:val="BodyText"/>
        <w:spacing w:before="0"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380"/>
      </w:tblGrid>
      <w:tr w:rsidR="005C4BB8" w:rsidRPr="00A1381B" w14:paraId="504FCC14" w14:textId="77777777" w:rsidTr="071C8300">
        <w:tc>
          <w:tcPr>
            <w:tcW w:w="2970" w:type="dxa"/>
          </w:tcPr>
          <w:p w14:paraId="1CBEA093" w14:textId="400110BA" w:rsidR="005C4BB8" w:rsidRPr="00865008" w:rsidRDefault="00865008" w:rsidP="00865008">
            <w:pPr>
              <w:pStyle w:val="Heading2"/>
              <w:spacing w:after="220"/>
              <w:outlineLvl w:val="1"/>
            </w:pPr>
            <w:r w:rsidRPr="00865008">
              <w:t>To</w:t>
            </w:r>
            <w:r w:rsidR="005C4BB8" w:rsidRPr="00865008">
              <w:t>:</w:t>
            </w:r>
          </w:p>
        </w:tc>
        <w:tc>
          <w:tcPr>
            <w:tcW w:w="6380" w:type="dxa"/>
          </w:tcPr>
          <w:p w14:paraId="5822F64D" w14:textId="799F023F" w:rsidR="005C4BB8" w:rsidRPr="00A1381B" w:rsidRDefault="006B2414" w:rsidP="00865008">
            <w:pPr>
              <w:spacing w:after="220"/>
              <w:rPr>
                <w:rFonts w:cstheme="minorHAnsi"/>
              </w:rPr>
            </w:pPr>
            <w:r>
              <w:rPr>
                <w:rFonts w:cstheme="minorHAnsi"/>
              </w:rPr>
              <w:t>Tualatin Planning Commissioners</w:t>
            </w:r>
          </w:p>
        </w:tc>
      </w:tr>
      <w:tr w:rsidR="005C4BB8" w:rsidRPr="00A1381B" w14:paraId="796D7070" w14:textId="77777777" w:rsidTr="071C8300">
        <w:tc>
          <w:tcPr>
            <w:tcW w:w="2970" w:type="dxa"/>
          </w:tcPr>
          <w:p w14:paraId="2054E885" w14:textId="6DE0EED3" w:rsidR="005C4BB8" w:rsidRPr="00A1381B" w:rsidRDefault="00865008" w:rsidP="00865008">
            <w:pPr>
              <w:pStyle w:val="Heading2"/>
              <w:spacing w:after="220"/>
              <w:outlineLvl w:val="1"/>
            </w:pPr>
            <w:r w:rsidRPr="00865008">
              <w:t>Through</w:t>
            </w:r>
            <w:r>
              <w:t>:</w:t>
            </w:r>
          </w:p>
        </w:tc>
        <w:tc>
          <w:tcPr>
            <w:tcW w:w="6380" w:type="dxa"/>
          </w:tcPr>
          <w:p w14:paraId="7468F434" w14:textId="02C63D36" w:rsidR="005C4BB8" w:rsidRPr="00A1381B" w:rsidRDefault="006B2414" w:rsidP="071C8300">
            <w:pPr>
              <w:spacing w:after="220"/>
              <w:rPr>
                <w:rFonts w:cstheme="minorBidi"/>
              </w:rPr>
            </w:pPr>
            <w:r w:rsidRPr="071C8300">
              <w:rPr>
                <w:rFonts w:cstheme="minorBidi"/>
              </w:rPr>
              <w:t xml:space="preserve">Steve Koper, </w:t>
            </w:r>
            <w:r w:rsidR="00896A79" w:rsidRPr="071C8300">
              <w:rPr>
                <w:rFonts w:cstheme="minorBidi"/>
              </w:rPr>
              <w:t>Assistant</w:t>
            </w:r>
            <w:r w:rsidR="3E31DDBD" w:rsidRPr="071C8300">
              <w:rPr>
                <w:rFonts w:cstheme="minorBidi"/>
              </w:rPr>
              <w:t xml:space="preserve"> Community Development Director</w:t>
            </w:r>
          </w:p>
        </w:tc>
      </w:tr>
      <w:tr w:rsidR="00865008" w:rsidRPr="00A1381B" w14:paraId="7C28C3B2" w14:textId="77777777" w:rsidTr="071C8300">
        <w:tc>
          <w:tcPr>
            <w:tcW w:w="2970" w:type="dxa"/>
          </w:tcPr>
          <w:p w14:paraId="3929A913" w14:textId="5A5BE63E" w:rsidR="00865008" w:rsidRDefault="00865008" w:rsidP="00865008">
            <w:pPr>
              <w:pStyle w:val="Heading2"/>
              <w:spacing w:after="220"/>
              <w:outlineLvl w:val="1"/>
            </w:pPr>
            <w:r>
              <w:t>FROM:</w:t>
            </w:r>
          </w:p>
        </w:tc>
        <w:tc>
          <w:tcPr>
            <w:tcW w:w="6380" w:type="dxa"/>
          </w:tcPr>
          <w:p w14:paraId="0E48065D" w14:textId="1BB4B848" w:rsidR="00865008" w:rsidRDefault="00E130EB" w:rsidP="00865008">
            <w:pPr>
              <w:spacing w:after="220"/>
              <w:rPr>
                <w:rFonts w:cstheme="minorHAnsi"/>
              </w:rPr>
            </w:pPr>
            <w:r>
              <w:rPr>
                <w:rFonts w:cstheme="minorHAnsi"/>
              </w:rPr>
              <w:t xml:space="preserve">Madeleine Nelson, Assistant Planner </w:t>
            </w:r>
          </w:p>
        </w:tc>
      </w:tr>
      <w:tr w:rsidR="00983E7A" w:rsidRPr="00A1381B" w14:paraId="0C82CE26" w14:textId="77777777" w:rsidTr="071C8300">
        <w:tc>
          <w:tcPr>
            <w:tcW w:w="2970" w:type="dxa"/>
          </w:tcPr>
          <w:p w14:paraId="650A7C74" w14:textId="7D595981" w:rsidR="00983E7A" w:rsidRDefault="00865008" w:rsidP="00865008">
            <w:pPr>
              <w:pStyle w:val="Heading2"/>
              <w:spacing w:after="220"/>
              <w:outlineLvl w:val="1"/>
            </w:pPr>
            <w:r>
              <w:t>Date:</w:t>
            </w:r>
          </w:p>
        </w:tc>
        <w:tc>
          <w:tcPr>
            <w:tcW w:w="6380" w:type="dxa"/>
          </w:tcPr>
          <w:p w14:paraId="5E55614E" w14:textId="727A0AA5" w:rsidR="00983E7A" w:rsidRDefault="000374A0" w:rsidP="00865008">
            <w:pPr>
              <w:spacing w:after="220"/>
              <w:rPr>
                <w:rFonts w:cstheme="minorHAnsi"/>
              </w:rPr>
            </w:pPr>
            <w:r>
              <w:rPr>
                <w:rFonts w:cstheme="minorHAnsi"/>
              </w:rPr>
              <w:t>December 18</w:t>
            </w:r>
            <w:r w:rsidR="00E130EB">
              <w:rPr>
                <w:rFonts w:cstheme="minorHAnsi"/>
              </w:rPr>
              <w:t>, 2024</w:t>
            </w:r>
          </w:p>
        </w:tc>
      </w:tr>
    </w:tbl>
    <w:p w14:paraId="767F7B22" w14:textId="77777777" w:rsidR="005C4BB8" w:rsidRPr="00A1381B" w:rsidRDefault="005C4BB8" w:rsidP="00865008">
      <w:pPr>
        <w:pBdr>
          <w:top w:val="single" w:sz="12" w:space="1" w:color="auto"/>
        </w:pBdr>
        <w:rPr>
          <w:rFonts w:cstheme="minorHAnsi"/>
        </w:rPr>
      </w:pPr>
    </w:p>
    <w:p w14:paraId="0CCB546B" w14:textId="18C961F4" w:rsidR="007102BF" w:rsidRPr="00620862" w:rsidRDefault="00983E7A" w:rsidP="007102BF">
      <w:pPr>
        <w:spacing w:after="0"/>
        <w:rPr>
          <w:b/>
          <w:caps/>
        </w:rPr>
      </w:pPr>
      <w:r w:rsidRPr="00620862">
        <w:rPr>
          <w:b/>
          <w:caps/>
        </w:rPr>
        <w:t>SUBJECT</w:t>
      </w:r>
      <w:r w:rsidR="00865008" w:rsidRPr="00620862">
        <w:rPr>
          <w:b/>
          <w:cap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02"/>
      </w:tblGrid>
      <w:tr w:rsidR="007102BF" w:rsidRPr="00620862" w14:paraId="3856FDB7" w14:textId="77777777" w:rsidTr="00933CF9">
        <w:tc>
          <w:tcPr>
            <w:tcW w:w="10502" w:type="dxa"/>
          </w:tcPr>
          <w:p w14:paraId="25C60267" w14:textId="4C8AE383" w:rsidR="007102BF" w:rsidRPr="00620862" w:rsidRDefault="006A39E4" w:rsidP="004618F4">
            <w:pPr>
              <w:spacing w:after="220"/>
            </w:pPr>
            <w:bookmarkStart w:id="0" w:name="APSF0" w:colFirst="0" w:colLast="0"/>
            <w:r w:rsidRPr="00620862">
              <w:rPr>
                <w:color w:val="000000"/>
              </w:rPr>
              <w:t>Consideration of a Sign Variance application (SVAR24-0001) for a sign package proposal located at the Cabela’s/Bass Pro Shops retailer at 7555 SW Nyberg Street (Tax Lot: 2S124A003100).</w:t>
            </w:r>
          </w:p>
        </w:tc>
      </w:tr>
    </w:tbl>
    <w:bookmarkEnd w:id="0"/>
    <w:p w14:paraId="1AB4B3F7" w14:textId="77777777" w:rsidR="006A39E4" w:rsidRPr="00620862" w:rsidRDefault="00621ACA" w:rsidP="001E2474">
      <w:pPr>
        <w:ind w:right="245"/>
      </w:pPr>
      <w:r w:rsidRPr="00620862">
        <w:rPr>
          <w:b/>
          <w:caps/>
        </w:rPr>
        <w:t>Executive Summary</w:t>
      </w:r>
      <w:r w:rsidR="00865008" w:rsidRPr="00620862">
        <w:rPr>
          <w:b/>
          <w:caps/>
        </w:rPr>
        <w:t>:</w:t>
      </w:r>
      <w:r w:rsidRPr="00620862">
        <w:rPr>
          <w:b/>
        </w:rPr>
        <w:br/>
      </w:r>
      <w:r w:rsidR="006A39E4" w:rsidRPr="00620862">
        <w:t xml:space="preserve">The applicant, Meyer Sign Co. of Oregon, Inc., on behalf of Nyberg Center Cal </w:t>
      </w:r>
      <w:r w:rsidR="006A39E4" w:rsidRPr="00620862">
        <w:rPr>
          <w:rFonts w:ascii="Segoe UI" w:hAnsi="Segoe UI" w:cs="Segoe UI"/>
        </w:rPr>
        <w:t>ꓲꓲ</w:t>
      </w:r>
      <w:r w:rsidR="006A39E4" w:rsidRPr="00620862">
        <w:t xml:space="preserve">, LLC, requests approval of a sign variance at the Cabela’s/Bass Pro Shops retailer located at 7555 SW Nyberg Street (Tax Lot: 2S124A003100). </w:t>
      </w:r>
    </w:p>
    <w:p w14:paraId="2168C780" w14:textId="77777777" w:rsidR="006A39E4" w:rsidRPr="00620862" w:rsidRDefault="006A39E4" w:rsidP="006A39E4">
      <w:pPr>
        <w:pStyle w:val="ListParagraph"/>
        <w:numPr>
          <w:ilvl w:val="0"/>
          <w:numId w:val="5"/>
        </w:numPr>
        <w:ind w:right="242"/>
      </w:pPr>
      <w:r w:rsidRPr="00620862">
        <w:t>The subject proposal is a Type III land use case, subject to a quasi-judicial hearing before the Tualatin Planning Commission.</w:t>
      </w:r>
    </w:p>
    <w:p w14:paraId="4BBA38E4" w14:textId="77777777" w:rsidR="006A39E4" w:rsidRPr="00620862" w:rsidRDefault="006A39E4" w:rsidP="006A39E4">
      <w:pPr>
        <w:pStyle w:val="ListParagraph"/>
        <w:numPr>
          <w:ilvl w:val="0"/>
          <w:numId w:val="5"/>
        </w:numPr>
        <w:ind w:right="242"/>
      </w:pPr>
      <w:r w:rsidRPr="00620862">
        <w:rPr>
          <w:bCs/>
          <w:iCs/>
        </w:rPr>
        <w:t xml:space="preserve">The existing building is located on 22.74-acre site zoned Central Commercial (CC) and Office Commercial (CO). </w:t>
      </w:r>
    </w:p>
    <w:p w14:paraId="42254FEE" w14:textId="77777777" w:rsidR="006A39E4" w:rsidRPr="00620862" w:rsidRDefault="006A39E4" w:rsidP="006A39E4">
      <w:pPr>
        <w:pStyle w:val="ListParagraph"/>
        <w:numPr>
          <w:ilvl w:val="0"/>
          <w:numId w:val="5"/>
        </w:numPr>
      </w:pPr>
      <w:r w:rsidRPr="00620862">
        <w:t>The Central Commercial (CC) Planning District permits the following code standards for wall signs under Tualatin Development Code (TDC) 38.220(1)(d):</w:t>
      </w:r>
    </w:p>
    <w:p w14:paraId="2C7833C8" w14:textId="77777777" w:rsidR="006A39E4" w:rsidRPr="00620862" w:rsidRDefault="006A39E4" w:rsidP="006A39E4">
      <w:pPr>
        <w:pStyle w:val="List3"/>
        <w:numPr>
          <w:ilvl w:val="1"/>
          <w:numId w:val="5"/>
        </w:numPr>
        <w:rPr>
          <w:rFonts w:ascii="Arial" w:hAnsi="Arial" w:cs="Arial"/>
        </w:rPr>
      </w:pPr>
      <w:r w:rsidRPr="00620862">
        <w:rPr>
          <w:rFonts w:ascii="Arial" w:hAnsi="Arial" w:cs="Arial"/>
        </w:rPr>
        <w:t xml:space="preserve">(i) Number: One on each owned or leased wall not to exceed four walls of a building. For walls not oriented toward and not located within 150 feet of the Wetland Protected Area or a Natural Resource Protection Overlay District (NRPO) as shown on Map 72-1, two wall signs are allowed on an owned or leased wall of 4,000-4,999.99 square feet provided the distance between the two signs is greater than 25 feet, and three wall signs on an owned or leased wall equal to or greater than 5,000 square feet. </w:t>
      </w:r>
    </w:p>
    <w:p w14:paraId="1A673CBA" w14:textId="77777777" w:rsidR="006A39E4" w:rsidRPr="00620862" w:rsidRDefault="006A39E4" w:rsidP="006A39E4">
      <w:pPr>
        <w:pStyle w:val="List3"/>
        <w:numPr>
          <w:ilvl w:val="1"/>
          <w:numId w:val="5"/>
        </w:numPr>
        <w:rPr>
          <w:rFonts w:ascii="Arial" w:hAnsi="Arial" w:cs="Arial"/>
        </w:rPr>
      </w:pPr>
      <w:r w:rsidRPr="00620862">
        <w:rPr>
          <w:rFonts w:ascii="Arial" w:hAnsi="Arial" w:cs="Arial"/>
        </w:rPr>
        <w:t xml:space="preserve">(ii) Number of Sides: No more than one. </w:t>
      </w:r>
    </w:p>
    <w:p w14:paraId="05916079" w14:textId="77777777" w:rsidR="006A39E4" w:rsidRPr="00620862" w:rsidRDefault="006A39E4" w:rsidP="006A39E4">
      <w:pPr>
        <w:pStyle w:val="List3"/>
        <w:numPr>
          <w:ilvl w:val="1"/>
          <w:numId w:val="5"/>
        </w:numPr>
        <w:rPr>
          <w:rFonts w:ascii="Arial" w:hAnsi="Arial" w:cs="Arial"/>
        </w:rPr>
      </w:pPr>
      <w:r w:rsidRPr="00620862">
        <w:rPr>
          <w:rFonts w:ascii="Arial" w:hAnsi="Arial" w:cs="Arial"/>
        </w:rPr>
        <w:t xml:space="preserve">(iii) Height Above Grade: No higher than the height of the sign band on the owned or leased space. </w:t>
      </w:r>
    </w:p>
    <w:p w14:paraId="352EBE93" w14:textId="77777777" w:rsidR="006A39E4" w:rsidRPr="00620862" w:rsidRDefault="006A39E4" w:rsidP="006A39E4">
      <w:pPr>
        <w:pStyle w:val="List3"/>
        <w:numPr>
          <w:ilvl w:val="1"/>
          <w:numId w:val="5"/>
        </w:numPr>
        <w:rPr>
          <w:rFonts w:ascii="Arial" w:hAnsi="Arial" w:cs="Arial"/>
        </w:rPr>
      </w:pPr>
      <w:r w:rsidRPr="00620862">
        <w:rPr>
          <w:rFonts w:ascii="Arial" w:hAnsi="Arial" w:cs="Arial"/>
        </w:rPr>
        <w:t xml:space="preserve">(iv) Height of Sign Face: No higher than four feet provided no letter or number (does not include logos, caricatures, scenes, non-letters and non-numerical symbols) shall be more than two feet when erected on owned or leased walls whose area is less than 4,000 square feet, and no higher than four feet for letters, numbers, logos, caricatures, scenes and symbols when erected on owned or leased walls equal to or greater than 4,000 square feet. If a sign's square footage is less than ½ the maximum area allowed, then the height of the sign can be doubled. If the sign height is doubled, the height of any logo, symbols, caricatures or scenes may be up to five feet. </w:t>
      </w:r>
    </w:p>
    <w:p w14:paraId="5D51E538" w14:textId="77777777" w:rsidR="006A39E4" w:rsidRPr="00620862" w:rsidRDefault="006A39E4" w:rsidP="006A39E4">
      <w:pPr>
        <w:pStyle w:val="List3"/>
        <w:numPr>
          <w:ilvl w:val="1"/>
          <w:numId w:val="5"/>
        </w:numPr>
        <w:rPr>
          <w:rFonts w:ascii="Arial" w:hAnsi="Arial" w:cs="Arial"/>
        </w:rPr>
      </w:pPr>
      <w:r w:rsidRPr="00620862">
        <w:rPr>
          <w:rFonts w:ascii="Arial" w:hAnsi="Arial" w:cs="Arial"/>
        </w:rPr>
        <w:t xml:space="preserve">(v) Area: For owned or leased walls whose area is 0 to 400 square feet, a sign area of at least 24 square feet or ten percent of the wall area is allowed, whichever is greater. For walls whose area is 400 to 3,999.9 square feet, a sign area of no more than 40 square feet is allowed. For walls not oriented toward and not located within 150 feet of the Wetland </w:t>
      </w:r>
      <w:r w:rsidRPr="00620862">
        <w:rPr>
          <w:rFonts w:ascii="Arial" w:hAnsi="Arial" w:cs="Arial"/>
        </w:rPr>
        <w:lastRenderedPageBreak/>
        <w:t xml:space="preserve">Protected Area or a NRPO District as shown on Map 72-1, a total sign area of up to 100 square feet is allowed for a wall 4,000-4,999.9 square feet provided that when two wall signs are erected neither sign is larger than 75 square feet, and for walls equal to or greater than 5,000 square feet, a sign area of up to 150 square feet is allowed. </w:t>
      </w:r>
    </w:p>
    <w:p w14:paraId="29D36AB0" w14:textId="77777777" w:rsidR="006A39E4" w:rsidRPr="00620862" w:rsidRDefault="006A39E4" w:rsidP="006A39E4">
      <w:pPr>
        <w:pStyle w:val="List3"/>
        <w:numPr>
          <w:ilvl w:val="1"/>
          <w:numId w:val="5"/>
        </w:numPr>
        <w:rPr>
          <w:rFonts w:ascii="Arial" w:hAnsi="Arial" w:cs="Arial"/>
        </w:rPr>
      </w:pPr>
      <w:r w:rsidRPr="00620862">
        <w:rPr>
          <w:rFonts w:ascii="Arial" w:hAnsi="Arial" w:cs="Arial"/>
        </w:rPr>
        <w:t xml:space="preserve">(vi) Illumination: Direct, indirect or internal. </w:t>
      </w:r>
    </w:p>
    <w:p w14:paraId="4930044F" w14:textId="38B970C6" w:rsidR="00620862" w:rsidRPr="00620862" w:rsidRDefault="006A39E4" w:rsidP="00620862">
      <w:pPr>
        <w:pStyle w:val="List3"/>
        <w:numPr>
          <w:ilvl w:val="1"/>
          <w:numId w:val="5"/>
        </w:numPr>
        <w:rPr>
          <w:rFonts w:ascii="Arial" w:hAnsi="Arial" w:cs="Arial"/>
        </w:rPr>
      </w:pPr>
      <w:r w:rsidRPr="00620862">
        <w:rPr>
          <w:rFonts w:ascii="Arial" w:hAnsi="Arial" w:cs="Arial"/>
        </w:rPr>
        <w:t xml:space="preserve">(vii) Mechanical Readerboard: For churches, cinemas and theaters the sign may be a mechanical readerboard. </w:t>
      </w:r>
    </w:p>
    <w:p w14:paraId="399F9CF2" w14:textId="271C546F" w:rsidR="00620862" w:rsidRPr="00620862" w:rsidRDefault="00620862" w:rsidP="00620862">
      <w:pPr>
        <w:pStyle w:val="List3"/>
        <w:numPr>
          <w:ilvl w:val="0"/>
          <w:numId w:val="5"/>
        </w:numPr>
        <w:rPr>
          <w:rFonts w:ascii="Arial" w:hAnsi="Arial" w:cs="Arial"/>
        </w:rPr>
      </w:pPr>
      <w:r w:rsidRPr="00620862">
        <w:rPr>
          <w:rFonts w:ascii="Arial" w:hAnsi="Arial" w:cs="Arial"/>
          <w:bCs/>
          <w:iCs/>
        </w:rPr>
        <w:t xml:space="preserve">The Sign Variance proposal requests to place a total of 355.2 square feet of signage on the southern elevation to replace the existing 361.79 square feet of signage. The application also proposes to place a total of 150 square feet of signage on the eastern elevation to replace the existing 228 square feet of signage. </w:t>
      </w:r>
      <w:r w:rsidRPr="00620862">
        <w:rPr>
          <w:rFonts w:ascii="Arial" w:hAnsi="Arial" w:cs="Arial"/>
          <w:color w:val="000000"/>
        </w:rPr>
        <w:t xml:space="preserve">The total square footage of all proposed signs </w:t>
      </w:r>
      <w:r w:rsidRPr="00620862">
        <w:rPr>
          <w:rFonts w:ascii="Arial" w:hAnsi="Arial" w:cs="Arial"/>
          <w:color w:val="000000"/>
        </w:rPr>
        <w:t>on the building is 505.2</w:t>
      </w:r>
      <w:r w:rsidRPr="00620862">
        <w:rPr>
          <w:rFonts w:ascii="Arial" w:hAnsi="Arial" w:cs="Arial"/>
          <w:color w:val="000000"/>
        </w:rPr>
        <w:t xml:space="preserve"> sf. The requested variances are provided below:</w:t>
      </w:r>
    </w:p>
    <w:p w14:paraId="04E0008B" w14:textId="77777777" w:rsidR="00620862" w:rsidRPr="00620862" w:rsidRDefault="00620862" w:rsidP="00620862">
      <w:pPr>
        <w:pStyle w:val="List3"/>
        <w:ind w:left="720" w:firstLine="0"/>
        <w:rPr>
          <w:rFonts w:ascii="Arial" w:hAnsi="Arial" w:cs="Arial"/>
        </w:rPr>
      </w:pPr>
    </w:p>
    <w:p w14:paraId="73D61889" w14:textId="77777777" w:rsidR="00620862" w:rsidRPr="00620862" w:rsidRDefault="00620862" w:rsidP="00620862">
      <w:pPr>
        <w:pStyle w:val="ListParagraph"/>
        <w:widowControl/>
        <w:numPr>
          <w:ilvl w:val="0"/>
          <w:numId w:val="8"/>
        </w:numPr>
        <w:autoSpaceDE/>
        <w:autoSpaceDN/>
        <w:spacing w:before="0" w:line="259" w:lineRule="auto"/>
        <w:ind w:left="720"/>
        <w:contextualSpacing/>
        <w:rPr>
          <w:b/>
        </w:rPr>
      </w:pPr>
      <w:r w:rsidRPr="00620862">
        <w:rPr>
          <w:b/>
        </w:rPr>
        <w:t>A variance to allow 10’- 4 5/8” height on the proposed Bass Pro Shops Formed Main ID Cabinet (Sign 1) on the southern elevation for a total sign area of 156.8 square feet.</w:t>
      </w:r>
    </w:p>
    <w:p w14:paraId="77782A51" w14:textId="77777777" w:rsidR="00620862" w:rsidRPr="00620862" w:rsidRDefault="00620862" w:rsidP="00620862">
      <w:pPr>
        <w:pStyle w:val="ListParagraph"/>
        <w:widowControl/>
        <w:numPr>
          <w:ilvl w:val="1"/>
          <w:numId w:val="10"/>
        </w:numPr>
        <w:autoSpaceDE/>
        <w:autoSpaceDN/>
        <w:spacing w:before="0" w:line="259" w:lineRule="auto"/>
        <w:contextualSpacing/>
        <w:rPr>
          <w:b/>
        </w:rPr>
      </w:pPr>
      <w:r w:rsidRPr="00620862">
        <w:t xml:space="preserve">The proposed Bass Pro Shops Formed Main ID Cabinet (Sign 1) is on the southern elevation which is 70,300 square feet, therefore under the sign code a 150 square foot sign with a maximum height of 4 feet is allowed.  </w:t>
      </w:r>
    </w:p>
    <w:p w14:paraId="57FC4AA7" w14:textId="1F0F04D0" w:rsidR="00620862" w:rsidRPr="00620862" w:rsidRDefault="00620862" w:rsidP="00620862">
      <w:pPr>
        <w:pStyle w:val="ListParagraph"/>
        <w:widowControl/>
        <w:numPr>
          <w:ilvl w:val="1"/>
          <w:numId w:val="10"/>
        </w:numPr>
        <w:autoSpaceDE/>
        <w:autoSpaceDN/>
        <w:spacing w:before="0" w:line="259" w:lineRule="auto"/>
        <w:contextualSpacing/>
        <w:rPr>
          <w:b/>
        </w:rPr>
      </w:pPr>
      <w:r w:rsidRPr="00620862">
        <w:t>The applicant proposes a sign area of 156.8 square feet with a height of 10’ – 4 5/8”. The proposed area is 6.8 square feet or 4.5% over the code allowance, and the p</w:t>
      </w:r>
      <w:r w:rsidR="000810A2">
        <w:t xml:space="preserve">roposed </w:t>
      </w:r>
      <w:bookmarkStart w:id="1" w:name="_GoBack"/>
      <w:bookmarkEnd w:id="1"/>
      <w:r w:rsidRPr="00620862">
        <w:t xml:space="preserve">height is 6’ – 4 5/8” or 159.6% over the code allowance </w:t>
      </w:r>
    </w:p>
    <w:p w14:paraId="04C8D1CC" w14:textId="77777777" w:rsidR="00620862" w:rsidRPr="00620862" w:rsidRDefault="00620862" w:rsidP="00620862">
      <w:pPr>
        <w:pStyle w:val="ListParagraph"/>
        <w:widowControl/>
        <w:numPr>
          <w:ilvl w:val="1"/>
          <w:numId w:val="10"/>
        </w:numPr>
        <w:autoSpaceDE/>
        <w:autoSpaceDN/>
        <w:spacing w:before="0" w:line="259" w:lineRule="auto"/>
        <w:contextualSpacing/>
        <w:rPr>
          <w:b/>
        </w:rPr>
      </w:pPr>
      <w:r w:rsidRPr="00620862">
        <w:t>A previous sign variance (SVAR 14-01) for the retailer approved a 264 square foot sign with a height of 8 feet.</w:t>
      </w:r>
    </w:p>
    <w:p w14:paraId="50048181" w14:textId="1C36D5DE" w:rsidR="00620862" w:rsidRPr="00620862" w:rsidRDefault="00620862" w:rsidP="00620862">
      <w:pPr>
        <w:pStyle w:val="ListParagraph"/>
        <w:widowControl/>
        <w:numPr>
          <w:ilvl w:val="1"/>
          <w:numId w:val="10"/>
        </w:numPr>
        <w:autoSpaceDE/>
        <w:autoSpaceDN/>
        <w:spacing w:before="0" w:line="259" w:lineRule="auto"/>
        <w:contextualSpacing/>
        <w:rPr>
          <w:b/>
        </w:rPr>
      </w:pPr>
      <w:r w:rsidRPr="00620862">
        <w:t xml:space="preserve">The proposal is a reduction in square feet from the existing sign of 264 square feet, a 107.2 or 40.6% reduction in square footage is proposed, and a height increase of 2’ – 4 5/8” or 29.8% is proposed. </w:t>
      </w:r>
    </w:p>
    <w:p w14:paraId="57E9081B" w14:textId="77777777" w:rsidR="00620862" w:rsidRPr="00620862" w:rsidRDefault="00620862" w:rsidP="00620862">
      <w:pPr>
        <w:pStyle w:val="ListParagraph"/>
        <w:rPr>
          <w:b/>
          <w:highlight w:val="yellow"/>
        </w:rPr>
      </w:pPr>
    </w:p>
    <w:p w14:paraId="21E8D046" w14:textId="77777777" w:rsidR="00620862" w:rsidRPr="00620862" w:rsidRDefault="00620862" w:rsidP="00620862">
      <w:pPr>
        <w:pStyle w:val="ListParagraph"/>
        <w:widowControl/>
        <w:numPr>
          <w:ilvl w:val="0"/>
          <w:numId w:val="8"/>
        </w:numPr>
        <w:autoSpaceDE/>
        <w:autoSpaceDN/>
        <w:spacing w:before="0" w:line="259" w:lineRule="auto"/>
        <w:ind w:left="720"/>
        <w:contextualSpacing/>
        <w:rPr>
          <w:b/>
        </w:rPr>
      </w:pPr>
      <w:r w:rsidRPr="00620862">
        <w:rPr>
          <w:b/>
        </w:rPr>
        <w:t xml:space="preserve">A variance to allow 6’ – 1/8’’ height on the proposed Outdoor World Wall Cabinet (Sign 2) on the southern elevation for a total sign area of 198.4 square feet. </w:t>
      </w:r>
    </w:p>
    <w:p w14:paraId="7B8AC672" w14:textId="77777777" w:rsidR="00620862" w:rsidRPr="00620862" w:rsidRDefault="00620862" w:rsidP="00620862">
      <w:pPr>
        <w:pStyle w:val="ListParagraph"/>
        <w:widowControl/>
        <w:numPr>
          <w:ilvl w:val="1"/>
          <w:numId w:val="11"/>
        </w:numPr>
        <w:overflowPunct w:val="0"/>
        <w:adjustRightInd w:val="0"/>
        <w:spacing w:before="0"/>
        <w:contextualSpacing/>
        <w:textAlignment w:val="baseline"/>
      </w:pPr>
      <w:r w:rsidRPr="00620862">
        <w:t xml:space="preserve">The proposed Outdoor World Wall Cabinet (Sign 2) is on the southern elevation which is 70,300 square feet, therefore under the sign code a 150 square foot sign with a maximum height of 4 feet is allowed.  </w:t>
      </w:r>
    </w:p>
    <w:p w14:paraId="1BA3E6F1" w14:textId="1D78CBD4" w:rsidR="00620862" w:rsidRDefault="00620862" w:rsidP="00620862">
      <w:pPr>
        <w:pStyle w:val="ListParagraph"/>
        <w:widowControl/>
        <w:numPr>
          <w:ilvl w:val="1"/>
          <w:numId w:val="11"/>
        </w:numPr>
        <w:autoSpaceDE/>
        <w:autoSpaceDN/>
        <w:spacing w:before="0" w:line="259" w:lineRule="auto"/>
        <w:contextualSpacing/>
      </w:pPr>
      <w:r w:rsidRPr="00620862">
        <w:t xml:space="preserve">The applicant proposed a sign area of 198.5 square feet with a height of 6’ – 1/8”. The proposed area is 48.5 square feet or 32.3% over the code allowance. The proposed height is 2’ – 1/8” or 52.1% over the code allowance. </w:t>
      </w:r>
    </w:p>
    <w:p w14:paraId="3E305790" w14:textId="77777777" w:rsidR="00620862" w:rsidRPr="00620862" w:rsidRDefault="00620862" w:rsidP="00620862">
      <w:pPr>
        <w:pStyle w:val="ListParagraph"/>
        <w:widowControl/>
        <w:autoSpaceDE/>
        <w:autoSpaceDN/>
        <w:spacing w:before="0" w:line="259" w:lineRule="auto"/>
        <w:ind w:left="1440" w:firstLine="0"/>
        <w:contextualSpacing/>
      </w:pPr>
    </w:p>
    <w:p w14:paraId="79DF6F22" w14:textId="77777777" w:rsidR="00620862" w:rsidRPr="00620862" w:rsidRDefault="00620862" w:rsidP="00620862">
      <w:pPr>
        <w:pStyle w:val="ListParagraph"/>
        <w:widowControl/>
        <w:numPr>
          <w:ilvl w:val="0"/>
          <w:numId w:val="8"/>
        </w:numPr>
        <w:autoSpaceDE/>
        <w:autoSpaceDN/>
        <w:spacing w:before="0" w:line="259" w:lineRule="auto"/>
        <w:ind w:left="720"/>
        <w:contextualSpacing/>
        <w:rPr>
          <w:b/>
        </w:rPr>
      </w:pPr>
      <w:r w:rsidRPr="00620862">
        <w:rPr>
          <w:b/>
        </w:rPr>
        <w:t xml:space="preserve">A variance to allow 10’ height on the proposed Bass Pro Shops Cabinet (Sign 3) on the eastern elevation for a total area of 150 square feet. </w:t>
      </w:r>
    </w:p>
    <w:p w14:paraId="0BB7656A" w14:textId="77777777" w:rsidR="00620862" w:rsidRPr="00620862" w:rsidRDefault="00620862" w:rsidP="00620862">
      <w:pPr>
        <w:pStyle w:val="ListParagraph"/>
        <w:widowControl/>
        <w:numPr>
          <w:ilvl w:val="1"/>
          <w:numId w:val="14"/>
        </w:numPr>
        <w:overflowPunct w:val="0"/>
        <w:adjustRightInd w:val="0"/>
        <w:spacing w:before="0"/>
        <w:contextualSpacing/>
        <w:textAlignment w:val="baseline"/>
      </w:pPr>
      <w:r w:rsidRPr="00620862">
        <w:t xml:space="preserve">The proposed Bass Pro Shops Cabinet (Sign 3) is on the eastern elevation which is 36,765 square feet, therefore under the sign code a 150 square foot sign with a maximum height of 4 feet is allowed. </w:t>
      </w:r>
    </w:p>
    <w:p w14:paraId="15BA42F1" w14:textId="77777777" w:rsidR="00620862" w:rsidRPr="00620862" w:rsidRDefault="00620862" w:rsidP="00620862">
      <w:pPr>
        <w:pStyle w:val="ListParagraph"/>
        <w:widowControl/>
        <w:numPr>
          <w:ilvl w:val="1"/>
          <w:numId w:val="14"/>
        </w:numPr>
        <w:overflowPunct w:val="0"/>
        <w:adjustRightInd w:val="0"/>
        <w:spacing w:before="0"/>
        <w:contextualSpacing/>
        <w:textAlignment w:val="baseline"/>
      </w:pPr>
      <w:r w:rsidRPr="00620862">
        <w:t>The applicant proposes a sign height of 10’. The proposed the height is 6’ or 150% over the code allowance.</w:t>
      </w:r>
    </w:p>
    <w:p w14:paraId="25A6CA34" w14:textId="77777777" w:rsidR="00620862" w:rsidRPr="00620862" w:rsidRDefault="00620862" w:rsidP="00620862">
      <w:pPr>
        <w:pStyle w:val="ListParagraph"/>
        <w:widowControl/>
        <w:numPr>
          <w:ilvl w:val="1"/>
          <w:numId w:val="14"/>
        </w:numPr>
        <w:autoSpaceDE/>
        <w:autoSpaceDN/>
        <w:spacing w:before="0" w:line="259" w:lineRule="auto"/>
        <w:contextualSpacing/>
      </w:pPr>
      <w:r w:rsidRPr="00620862">
        <w:t>A previous sign variance (SVAR14-01) for the retailer approved a 227 square foot sign with a height of 8 feet.</w:t>
      </w:r>
    </w:p>
    <w:p w14:paraId="45881FAD" w14:textId="08A86940" w:rsidR="00A90378" w:rsidRPr="00620862" w:rsidRDefault="00620862" w:rsidP="00620862">
      <w:pPr>
        <w:pStyle w:val="ListParagraph"/>
        <w:widowControl/>
        <w:numPr>
          <w:ilvl w:val="1"/>
          <w:numId w:val="15"/>
        </w:numPr>
        <w:autoSpaceDE/>
        <w:autoSpaceDN/>
        <w:spacing w:before="0" w:line="259" w:lineRule="auto"/>
        <w:contextualSpacing/>
      </w:pPr>
      <w:r w:rsidRPr="00620862">
        <w:t xml:space="preserve">The proposal is a decrease in square feet from the existing sign of 77 square feet. The proposed height increase of 2’ or 25%. </w:t>
      </w:r>
    </w:p>
    <w:p w14:paraId="3FDA71E6" w14:textId="77777777" w:rsidR="00620862" w:rsidRPr="00620862" w:rsidRDefault="00620862" w:rsidP="00620862">
      <w:pPr>
        <w:pStyle w:val="ListParagraph"/>
        <w:widowControl/>
        <w:autoSpaceDE/>
        <w:autoSpaceDN/>
        <w:spacing w:before="0" w:line="259" w:lineRule="auto"/>
        <w:ind w:left="1440" w:firstLine="0"/>
        <w:contextualSpacing/>
      </w:pPr>
    </w:p>
    <w:p w14:paraId="5E209A19" w14:textId="77777777" w:rsidR="006A39E4" w:rsidRPr="00620862" w:rsidRDefault="006A39E4" w:rsidP="006A39E4">
      <w:pPr>
        <w:pStyle w:val="ListParagraph"/>
        <w:widowControl/>
        <w:numPr>
          <w:ilvl w:val="0"/>
          <w:numId w:val="5"/>
        </w:numPr>
        <w:autoSpaceDE/>
        <w:autoSpaceDN/>
        <w:spacing w:before="0" w:line="259" w:lineRule="auto"/>
        <w:contextualSpacing/>
      </w:pPr>
      <w:r w:rsidRPr="00620862">
        <w:t xml:space="preserve">The approval criteria for Sign Variances can be found in Tualatin Development Code (TDC) 33.080. To grant a Sign Variance all six of the following criteria must be met: </w:t>
      </w:r>
    </w:p>
    <w:p w14:paraId="23C4A5BF" w14:textId="77777777" w:rsidR="006A39E4" w:rsidRPr="00620862" w:rsidRDefault="006A39E4" w:rsidP="006A39E4">
      <w:pPr>
        <w:pStyle w:val="ListParagraph"/>
        <w:numPr>
          <w:ilvl w:val="0"/>
          <w:numId w:val="6"/>
        </w:numPr>
        <w:ind w:right="242"/>
      </w:pPr>
      <w:r w:rsidRPr="00620862">
        <w:t xml:space="preserve">A hardship is created by exceptional or extraordinary conditions applying to the property that do not apply generally to other properties in the same zone, and such conditions are a result </w:t>
      </w:r>
      <w:r w:rsidRPr="00620862">
        <w:lastRenderedPageBreak/>
        <w:t>of lot size or shape or topography over which the applicant or owner has no control;</w:t>
      </w:r>
    </w:p>
    <w:p w14:paraId="4A17631B" w14:textId="77777777" w:rsidR="006A39E4" w:rsidRPr="00620862" w:rsidRDefault="006A39E4" w:rsidP="006A39E4">
      <w:pPr>
        <w:pStyle w:val="ListParagraph"/>
        <w:numPr>
          <w:ilvl w:val="0"/>
          <w:numId w:val="6"/>
        </w:numPr>
        <w:ind w:right="242"/>
      </w:pPr>
      <w:r w:rsidRPr="00620862">
        <w:t>The hardship does not result from actions of the applicant, owner or previous owner, or from personal circumstances, or from the financial situation of the applicant or owner or the company, or from regional economic conditions;</w:t>
      </w:r>
    </w:p>
    <w:p w14:paraId="7E41F106" w14:textId="77777777" w:rsidR="006A39E4" w:rsidRPr="00620862" w:rsidRDefault="006A39E4" w:rsidP="006A39E4">
      <w:pPr>
        <w:pStyle w:val="ListParagraph"/>
        <w:numPr>
          <w:ilvl w:val="0"/>
          <w:numId w:val="6"/>
        </w:numPr>
        <w:ind w:right="242"/>
      </w:pPr>
      <w:r w:rsidRPr="00620862">
        <w:t>The variance is the minimum remedy necessary to eliminate the hardship;</w:t>
      </w:r>
    </w:p>
    <w:p w14:paraId="42C87ACD" w14:textId="77777777" w:rsidR="006A39E4" w:rsidRPr="00620862" w:rsidRDefault="006A39E4" w:rsidP="006A39E4">
      <w:pPr>
        <w:pStyle w:val="ListParagraph"/>
        <w:numPr>
          <w:ilvl w:val="0"/>
          <w:numId w:val="6"/>
        </w:numPr>
        <w:ind w:right="242"/>
      </w:pPr>
      <w:r w:rsidRPr="00620862">
        <w:t>The variance is necessary for the preservation of a property right of the owner substantially the same as is possessed by owners of other property in the same zone however, nonconforming or illegal signs on the subject property or on nearby properties does not constitute justification to support a variance request;</w:t>
      </w:r>
    </w:p>
    <w:p w14:paraId="201BDB9F" w14:textId="77777777" w:rsidR="006A39E4" w:rsidRPr="00620862" w:rsidRDefault="006A39E4" w:rsidP="006A39E4">
      <w:pPr>
        <w:pStyle w:val="ListParagraph"/>
        <w:numPr>
          <w:ilvl w:val="0"/>
          <w:numId w:val="6"/>
        </w:numPr>
        <w:ind w:right="242"/>
      </w:pPr>
      <w:r w:rsidRPr="00620862">
        <w:t>The variance must not be detrimental to the general public health, safety and welfare, and not be injurious to properties or improvements in the vicinity; and</w:t>
      </w:r>
    </w:p>
    <w:p w14:paraId="67C531BC" w14:textId="77777777" w:rsidR="006A39E4" w:rsidRPr="00620862" w:rsidRDefault="006A39E4" w:rsidP="006A39E4">
      <w:pPr>
        <w:pStyle w:val="ListParagraph"/>
        <w:numPr>
          <w:ilvl w:val="0"/>
          <w:numId w:val="6"/>
        </w:numPr>
        <w:ind w:right="242"/>
      </w:pPr>
      <w:r w:rsidRPr="00620862">
        <w:t>The variance must not be detrimental to any applicable Comprehensive Plan goals and policies.</w:t>
      </w:r>
    </w:p>
    <w:p w14:paraId="7051BD7E" w14:textId="565BCC2D" w:rsidR="00F47670" w:rsidRPr="00F47670" w:rsidRDefault="00F47670" w:rsidP="006A39E4">
      <w:pPr>
        <w:spacing w:after="0"/>
        <w:ind w:right="242"/>
        <w:rPr>
          <w:rFonts w:cstheme="minorHAnsi"/>
          <w:szCs w:val="22"/>
        </w:rPr>
      </w:pPr>
    </w:p>
    <w:p w14:paraId="531B2846" w14:textId="77777777" w:rsidR="006A39E4" w:rsidRDefault="006A39E4" w:rsidP="006A39E4">
      <w:pPr>
        <w:rPr>
          <w:rFonts w:cstheme="minorHAnsi"/>
          <w:szCs w:val="22"/>
        </w:rPr>
      </w:pPr>
      <w:r>
        <w:rPr>
          <w:rFonts w:cstheme="minorHAnsi"/>
          <w:b/>
          <w:caps/>
        </w:rPr>
        <w:t>outcomes of decision</w:t>
      </w:r>
      <w:r w:rsidR="00865008">
        <w:rPr>
          <w:rFonts w:cstheme="minorHAnsi"/>
          <w:b/>
          <w:caps/>
        </w:rPr>
        <w:t>:</w:t>
      </w:r>
      <w:r w:rsidR="00621ACA">
        <w:rPr>
          <w:rFonts w:cstheme="minorHAnsi"/>
          <w:b/>
        </w:rPr>
        <w:br/>
      </w:r>
      <w:r w:rsidRPr="007B1085">
        <w:rPr>
          <w:rFonts w:cstheme="minorHAnsi"/>
          <w:szCs w:val="22"/>
        </w:rPr>
        <w:t>Approval o</w:t>
      </w:r>
      <w:r w:rsidRPr="00166806">
        <w:rPr>
          <w:rFonts w:cstheme="minorHAnsi"/>
          <w:szCs w:val="22"/>
        </w:rPr>
        <w:t xml:space="preserve">f </w:t>
      </w:r>
      <w:r>
        <w:rPr>
          <w:szCs w:val="22"/>
        </w:rPr>
        <w:t>SVAR24-0001</w:t>
      </w:r>
      <w:r w:rsidRPr="007B1085">
        <w:rPr>
          <w:rFonts w:cstheme="minorHAnsi"/>
          <w:szCs w:val="22"/>
        </w:rPr>
        <w:t xml:space="preserve"> will </w:t>
      </w:r>
      <w:r>
        <w:rPr>
          <w:rFonts w:cstheme="minorHAnsi"/>
          <w:szCs w:val="22"/>
        </w:rPr>
        <w:t>result in the following:</w:t>
      </w:r>
    </w:p>
    <w:p w14:paraId="53E4EF14" w14:textId="77777777" w:rsidR="006A39E4" w:rsidRPr="00620862" w:rsidRDefault="006A39E4" w:rsidP="006A39E4">
      <w:pPr>
        <w:rPr>
          <w:rFonts w:cstheme="minorHAnsi"/>
          <w:szCs w:val="22"/>
        </w:rPr>
      </w:pPr>
      <w:r>
        <w:rPr>
          <w:rFonts w:cstheme="minorHAnsi"/>
          <w:szCs w:val="22"/>
        </w:rPr>
        <w:t xml:space="preserve">Allows Cabela’s/Bass Pro Shops to obtain the variances listed below for a total of </w:t>
      </w:r>
      <w:r w:rsidRPr="002339A9">
        <w:rPr>
          <w:color w:val="000000"/>
        </w:rPr>
        <w:t>868.5 sf.</w:t>
      </w:r>
      <w:r>
        <w:rPr>
          <w:color w:val="000000"/>
        </w:rPr>
        <w:t xml:space="preserve"> of signage on the exis</w:t>
      </w:r>
      <w:r w:rsidRPr="00620862">
        <w:rPr>
          <w:color w:val="000000"/>
        </w:rPr>
        <w:t>ting building:</w:t>
      </w:r>
    </w:p>
    <w:p w14:paraId="7EE211FA" w14:textId="069558E3" w:rsidR="006A39E4" w:rsidRPr="00620862" w:rsidRDefault="006A39E4" w:rsidP="006A39E4">
      <w:pPr>
        <w:pStyle w:val="ListParagraph"/>
        <w:numPr>
          <w:ilvl w:val="1"/>
          <w:numId w:val="5"/>
        </w:numPr>
        <w:ind w:right="242"/>
      </w:pPr>
      <w:r w:rsidRPr="00620862">
        <w:t xml:space="preserve">A variance to allow </w:t>
      </w:r>
      <w:r w:rsidRPr="00620862">
        <w:rPr>
          <w:b/>
        </w:rPr>
        <w:t>10’-</w:t>
      </w:r>
      <w:r w:rsidR="003B5A25">
        <w:rPr>
          <w:b/>
        </w:rPr>
        <w:t xml:space="preserve"> </w:t>
      </w:r>
      <w:r w:rsidRPr="00620862">
        <w:rPr>
          <w:b/>
        </w:rPr>
        <w:t>4 5/8” height</w:t>
      </w:r>
      <w:r w:rsidRPr="00620862">
        <w:t xml:space="preserve"> on the proposed Bass Pro Shops Formed Main ID Cabinet on the southern elevation for a total sign area of </w:t>
      </w:r>
      <w:r w:rsidRPr="00620862">
        <w:rPr>
          <w:b/>
        </w:rPr>
        <w:t>156.8 sf.</w:t>
      </w:r>
    </w:p>
    <w:p w14:paraId="0E675904" w14:textId="79329ED5" w:rsidR="006A39E4" w:rsidRPr="00620862" w:rsidRDefault="006A39E4" w:rsidP="00620862">
      <w:pPr>
        <w:pStyle w:val="ListParagraph"/>
        <w:widowControl/>
        <w:numPr>
          <w:ilvl w:val="1"/>
          <w:numId w:val="5"/>
        </w:numPr>
        <w:autoSpaceDE/>
        <w:autoSpaceDN/>
        <w:spacing w:before="0" w:line="259" w:lineRule="auto"/>
        <w:contextualSpacing/>
      </w:pPr>
      <w:r w:rsidRPr="00620862">
        <w:t xml:space="preserve">A variance to allow </w:t>
      </w:r>
      <w:r w:rsidRPr="00620862">
        <w:rPr>
          <w:b/>
        </w:rPr>
        <w:t>6’ – 1/8’’ height</w:t>
      </w:r>
      <w:r w:rsidRPr="00620862">
        <w:t xml:space="preserve"> on the proposed Outdoor World Wall Cabinet on the southern elevation for a total sign area of </w:t>
      </w:r>
      <w:r w:rsidRPr="00620862">
        <w:rPr>
          <w:b/>
        </w:rPr>
        <w:t>198.5 sf</w:t>
      </w:r>
      <w:r w:rsidRPr="00620862">
        <w:t xml:space="preserve">. </w:t>
      </w:r>
    </w:p>
    <w:p w14:paraId="6D54A00B" w14:textId="26045495" w:rsidR="006A39E4" w:rsidRPr="00620862" w:rsidRDefault="006A39E4" w:rsidP="00164627">
      <w:pPr>
        <w:pStyle w:val="ListParagraph"/>
        <w:widowControl/>
        <w:numPr>
          <w:ilvl w:val="1"/>
          <w:numId w:val="5"/>
        </w:numPr>
        <w:autoSpaceDE/>
        <w:autoSpaceDN/>
        <w:spacing w:before="0" w:line="259" w:lineRule="auto"/>
        <w:contextualSpacing/>
        <w:rPr>
          <w:rFonts w:ascii="ArialMT" w:eastAsia="Times New Roman" w:hAnsi="ArialMT" w:cs="Times New Roman"/>
          <w:color w:val="000000"/>
          <w:sz w:val="24"/>
        </w:rPr>
      </w:pPr>
      <w:r w:rsidRPr="00620862">
        <w:t xml:space="preserve">A variance to allow </w:t>
      </w:r>
      <w:r w:rsidR="00620862" w:rsidRPr="00620862">
        <w:rPr>
          <w:b/>
        </w:rPr>
        <w:t>10’</w:t>
      </w:r>
      <w:r w:rsidRPr="00620862">
        <w:rPr>
          <w:b/>
        </w:rPr>
        <w:t xml:space="preserve"> height</w:t>
      </w:r>
      <w:r w:rsidRPr="00620862">
        <w:t xml:space="preserve"> on the proposed Bass Pro Shops Cabine</w:t>
      </w:r>
      <w:r w:rsidR="00620862" w:rsidRPr="00620862">
        <w:t>t sign on the eastern elevation.</w:t>
      </w:r>
    </w:p>
    <w:p w14:paraId="0F2D8DB5" w14:textId="77777777" w:rsidR="00620862" w:rsidRPr="00620862" w:rsidRDefault="00620862" w:rsidP="00620862">
      <w:pPr>
        <w:pStyle w:val="ListParagraph"/>
        <w:widowControl/>
        <w:autoSpaceDE/>
        <w:autoSpaceDN/>
        <w:spacing w:before="0" w:line="259" w:lineRule="auto"/>
        <w:ind w:left="1440" w:firstLine="0"/>
        <w:contextualSpacing/>
        <w:rPr>
          <w:rFonts w:ascii="ArialMT" w:eastAsia="Times New Roman" w:hAnsi="ArialMT" w:cs="Times New Roman"/>
          <w:color w:val="000000"/>
          <w:sz w:val="24"/>
        </w:rPr>
      </w:pPr>
    </w:p>
    <w:p w14:paraId="628CA587" w14:textId="77777777" w:rsidR="006A39E4" w:rsidRDefault="006A39E4" w:rsidP="006A39E4">
      <w:pPr>
        <w:spacing w:after="0"/>
        <w:rPr>
          <w:rFonts w:eastAsia="Times New Roman"/>
          <w:color w:val="000000"/>
          <w:szCs w:val="22"/>
        </w:rPr>
      </w:pPr>
      <w:r w:rsidRPr="00795236">
        <w:rPr>
          <w:rFonts w:eastAsia="Times New Roman"/>
          <w:color w:val="000000"/>
          <w:szCs w:val="22"/>
        </w:rPr>
        <w:t>Denial of the Sign Variance request will result in the following:</w:t>
      </w:r>
    </w:p>
    <w:p w14:paraId="48B71CA9" w14:textId="77777777" w:rsidR="006A39E4" w:rsidRDefault="006A39E4" w:rsidP="006A39E4">
      <w:pPr>
        <w:spacing w:after="0"/>
        <w:rPr>
          <w:rFonts w:eastAsia="Times New Roman"/>
          <w:color w:val="000000"/>
          <w:szCs w:val="22"/>
        </w:rPr>
      </w:pPr>
    </w:p>
    <w:p w14:paraId="33D35976" w14:textId="77777777" w:rsidR="006A39E4" w:rsidRPr="002B0105" w:rsidRDefault="006A39E4" w:rsidP="006A39E4">
      <w:pPr>
        <w:rPr>
          <w:rFonts w:eastAsia="Times New Roman"/>
          <w:color w:val="000000"/>
          <w:szCs w:val="22"/>
        </w:rPr>
      </w:pPr>
      <w:r w:rsidRPr="002B0105">
        <w:rPr>
          <w:rFonts w:eastAsia="Times New Roman"/>
          <w:color w:val="000000"/>
          <w:szCs w:val="22"/>
        </w:rPr>
        <w:t xml:space="preserve">The applicant will not be allowed to construct the proposed wall signs outside of the wall standards provided by the Central Commercial (CC) Planning District in TDC 38.220(1)(d). </w:t>
      </w:r>
    </w:p>
    <w:p w14:paraId="49886A45" w14:textId="77777777" w:rsidR="006A39E4" w:rsidRPr="007B1085" w:rsidRDefault="006A39E4" w:rsidP="006A39E4">
      <w:pPr>
        <w:rPr>
          <w:rFonts w:cstheme="minorHAnsi"/>
          <w:szCs w:val="22"/>
        </w:rPr>
      </w:pPr>
      <w:r w:rsidRPr="007B1085">
        <w:rPr>
          <w:rFonts w:cstheme="minorHAnsi"/>
          <w:b/>
          <w:caps/>
          <w:szCs w:val="22"/>
        </w:rPr>
        <w:t>Alternatives to Recommendation:</w:t>
      </w:r>
      <w:r w:rsidRPr="007B1085">
        <w:rPr>
          <w:rFonts w:cstheme="minorHAnsi"/>
          <w:b/>
          <w:szCs w:val="22"/>
        </w:rPr>
        <w:br/>
      </w:r>
      <w:r w:rsidRPr="007B1085">
        <w:rPr>
          <w:rFonts w:cstheme="minorHAnsi"/>
          <w:szCs w:val="22"/>
        </w:rPr>
        <w:t>The</w:t>
      </w:r>
      <w:r>
        <w:rPr>
          <w:rFonts w:cstheme="minorHAnsi"/>
          <w:szCs w:val="22"/>
        </w:rPr>
        <w:t xml:space="preserve"> Planning Commission</w:t>
      </w:r>
      <w:r w:rsidRPr="007B1085">
        <w:rPr>
          <w:rFonts w:cstheme="minorHAnsi"/>
          <w:szCs w:val="22"/>
        </w:rPr>
        <w:t xml:space="preserve"> may alternatively:</w:t>
      </w:r>
    </w:p>
    <w:p w14:paraId="1161BFA5" w14:textId="77777777" w:rsidR="006A39E4" w:rsidRPr="00CB2E2E" w:rsidRDefault="006A39E4" w:rsidP="006A39E4">
      <w:pPr>
        <w:pStyle w:val="ListParagraph"/>
        <w:numPr>
          <w:ilvl w:val="0"/>
          <w:numId w:val="7"/>
        </w:numPr>
        <w:rPr>
          <w:rFonts w:cstheme="minorHAnsi"/>
        </w:rPr>
      </w:pPr>
      <w:r w:rsidRPr="00CB2E2E">
        <w:rPr>
          <w:rFonts w:cstheme="minorHAnsi"/>
        </w:rPr>
        <w:t xml:space="preserve">Approve </w:t>
      </w:r>
      <w:r>
        <w:rPr>
          <w:rFonts w:cstheme="minorHAnsi"/>
        </w:rPr>
        <w:t>SV</w:t>
      </w:r>
      <w:r w:rsidRPr="00CB2E2E">
        <w:t xml:space="preserve">AR </w:t>
      </w:r>
      <w:r>
        <w:t>24-0001</w:t>
      </w:r>
      <w:r w:rsidRPr="00CB2E2E">
        <w:rPr>
          <w:rFonts w:cstheme="minorHAnsi"/>
        </w:rPr>
        <w:t xml:space="preserve"> with amended conditions of approval and direct staff to provide updated Analysis and Findings;</w:t>
      </w:r>
    </w:p>
    <w:p w14:paraId="6E01E9F7" w14:textId="77777777" w:rsidR="006A39E4" w:rsidRPr="00CB2E2E" w:rsidRDefault="006A39E4" w:rsidP="006A39E4">
      <w:pPr>
        <w:pStyle w:val="ListParagraph"/>
        <w:numPr>
          <w:ilvl w:val="0"/>
          <w:numId w:val="7"/>
        </w:numPr>
        <w:rPr>
          <w:rFonts w:cstheme="minorHAnsi"/>
        </w:rPr>
      </w:pPr>
      <w:r w:rsidRPr="00CB2E2E">
        <w:rPr>
          <w:rFonts w:cstheme="minorHAnsi"/>
        </w:rPr>
        <w:t>Continue the hearing to a later date for further consideration; or</w:t>
      </w:r>
    </w:p>
    <w:p w14:paraId="758FE0A9" w14:textId="7E0EF8EE" w:rsidR="00621ACA" w:rsidRPr="006A39E4" w:rsidRDefault="006A39E4" w:rsidP="00621ACA">
      <w:pPr>
        <w:pStyle w:val="ListParagraph"/>
        <w:numPr>
          <w:ilvl w:val="0"/>
          <w:numId w:val="7"/>
        </w:numPr>
        <w:spacing w:after="220"/>
        <w:rPr>
          <w:rFonts w:cstheme="minorHAnsi"/>
        </w:rPr>
      </w:pPr>
      <w:r>
        <w:rPr>
          <w:rFonts w:cstheme="minorHAnsi"/>
        </w:rPr>
        <w:t xml:space="preserve">Deny SVAR24-0001. </w:t>
      </w:r>
    </w:p>
    <w:p w14:paraId="5C09EAFE" w14:textId="00BF7E93" w:rsidR="00621ACA" w:rsidRDefault="00621ACA" w:rsidP="00865008">
      <w:pPr>
        <w:pBdr>
          <w:top w:val="single" w:sz="12" w:space="1" w:color="auto"/>
        </w:pBdr>
        <w:rPr>
          <w:rFonts w:cstheme="minorHAnsi"/>
          <w:b/>
        </w:rPr>
      </w:pPr>
    </w:p>
    <w:p w14:paraId="4D6771F8" w14:textId="49FA362A" w:rsidR="00865008" w:rsidRDefault="00865008" w:rsidP="00865008">
      <w:pPr>
        <w:pStyle w:val="Heading2"/>
      </w:pPr>
      <w:r>
        <w:t>Attachments:</w:t>
      </w:r>
    </w:p>
    <w:p w14:paraId="44B59DE9" w14:textId="77777777" w:rsidR="006A39E4" w:rsidRPr="005B3086" w:rsidRDefault="006A39E4" w:rsidP="006A39E4">
      <w:pPr>
        <w:spacing w:after="0"/>
      </w:pPr>
      <w:r w:rsidRPr="005B3086">
        <w:t>-Attachment 1: Presentation</w:t>
      </w:r>
    </w:p>
    <w:p w14:paraId="0677DEF2" w14:textId="77777777" w:rsidR="006A39E4" w:rsidRDefault="006A39E4" w:rsidP="006A39E4">
      <w:pPr>
        <w:spacing w:after="0"/>
      </w:pPr>
      <w:r w:rsidRPr="005B3086">
        <w:t xml:space="preserve">-Attachment 2: Analysis &amp; Findings </w:t>
      </w:r>
      <w:r w:rsidRPr="005B3086">
        <w:br/>
        <w:t>-Exhibit A: Application &amp; Narrative</w:t>
      </w:r>
    </w:p>
    <w:p w14:paraId="3FB0A196" w14:textId="51CC888B" w:rsidR="006A39E4" w:rsidRDefault="006A39E4" w:rsidP="006A39E4">
      <w:pPr>
        <w:spacing w:after="0"/>
      </w:pPr>
      <w:r>
        <w:t xml:space="preserve">-Exhibit B: </w:t>
      </w:r>
      <w:r w:rsidR="000374A0">
        <w:t xml:space="preserve">Revised Sign Proposal &amp; Description </w:t>
      </w:r>
    </w:p>
    <w:p w14:paraId="7633CFC1" w14:textId="77777777" w:rsidR="006A39E4" w:rsidRDefault="006A39E4" w:rsidP="006A39E4">
      <w:pPr>
        <w:spacing w:after="0"/>
      </w:pPr>
      <w:r>
        <w:t>-Exhibit C: Sign Renderings &amp; Site Photos</w:t>
      </w:r>
    </w:p>
    <w:p w14:paraId="3CB61E44" w14:textId="77777777" w:rsidR="006A39E4" w:rsidRDefault="006A39E4" w:rsidP="006A39E4">
      <w:pPr>
        <w:spacing w:after="0"/>
      </w:pPr>
      <w:r>
        <w:t>-Exhibit D: Supporting Documents</w:t>
      </w:r>
    </w:p>
    <w:p w14:paraId="31B3F9FC" w14:textId="77777777" w:rsidR="006A39E4" w:rsidRDefault="006A39E4" w:rsidP="006A39E4">
      <w:pPr>
        <w:spacing w:after="0"/>
      </w:pPr>
      <w:r>
        <w:t>-Exhibit E: Public Notice</w:t>
      </w:r>
    </w:p>
    <w:p w14:paraId="608A05DF" w14:textId="77777777" w:rsidR="006A39E4" w:rsidRDefault="006A39E4" w:rsidP="006A39E4">
      <w:pPr>
        <w:spacing w:after="0"/>
      </w:pPr>
      <w:r>
        <w:t>-Exhibit F: Nyberg Rivers Architectural Review 13-07</w:t>
      </w:r>
    </w:p>
    <w:p w14:paraId="2A10273C" w14:textId="77777777" w:rsidR="006A39E4" w:rsidRDefault="006A39E4" w:rsidP="006A39E4">
      <w:pPr>
        <w:spacing w:after="0"/>
      </w:pPr>
      <w:r>
        <w:t>-Exhibit G: Cabela’s Sign Variance 14-01</w:t>
      </w:r>
    </w:p>
    <w:p w14:paraId="4574C143" w14:textId="48BDFFDD" w:rsidR="00865008" w:rsidRPr="00865008" w:rsidRDefault="006A39E4" w:rsidP="006A39E4">
      <w:r>
        <w:t>-Exhibit H: Cabela’s Sign Variance 15-01</w:t>
      </w:r>
    </w:p>
    <w:sectPr w:rsidR="00865008" w:rsidRPr="00865008" w:rsidSect="00F957D6">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62746" w14:textId="77777777" w:rsidR="00380F7B" w:rsidRDefault="00380F7B" w:rsidP="00F957D6">
      <w:pPr>
        <w:spacing w:after="0"/>
      </w:pPr>
      <w:r>
        <w:separator/>
      </w:r>
    </w:p>
  </w:endnote>
  <w:endnote w:type="continuationSeparator" w:id="0">
    <w:p w14:paraId="35A162F2" w14:textId="77777777" w:rsidR="00380F7B" w:rsidRDefault="00380F7B" w:rsidP="00F957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C3A5" w14:textId="77777777" w:rsidR="00380F7B" w:rsidRDefault="00380F7B" w:rsidP="00F957D6">
      <w:pPr>
        <w:spacing w:after="0"/>
      </w:pPr>
      <w:r>
        <w:separator/>
      </w:r>
    </w:p>
  </w:footnote>
  <w:footnote w:type="continuationSeparator" w:id="0">
    <w:p w14:paraId="753825E0" w14:textId="77777777" w:rsidR="00380F7B" w:rsidRDefault="00380F7B" w:rsidP="00F957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5003"/>
    <w:multiLevelType w:val="hybridMultilevel"/>
    <w:tmpl w:val="796EE768"/>
    <w:lvl w:ilvl="0" w:tplc="2DCA2264">
      <w:start w:val="1"/>
      <w:numFmt w:val="decimal"/>
      <w:lvlText w:val="%1."/>
      <w:lvlJc w:val="left"/>
      <w:pPr>
        <w:ind w:left="966" w:hanging="267"/>
      </w:pPr>
      <w:rPr>
        <w:rFonts w:ascii="Arial" w:eastAsia="Arial" w:hAnsi="Arial" w:cs="Arial" w:hint="default"/>
        <w:w w:val="100"/>
        <w:sz w:val="24"/>
        <w:szCs w:val="24"/>
      </w:rPr>
    </w:lvl>
    <w:lvl w:ilvl="1" w:tplc="C308C6F6">
      <w:numFmt w:val="bullet"/>
      <w:lvlText w:val="•"/>
      <w:lvlJc w:val="left"/>
      <w:pPr>
        <w:ind w:left="1916" w:hanging="267"/>
      </w:pPr>
      <w:rPr>
        <w:rFonts w:hint="default"/>
      </w:rPr>
    </w:lvl>
    <w:lvl w:ilvl="2" w:tplc="5F1E57B0">
      <w:numFmt w:val="bullet"/>
      <w:lvlText w:val="•"/>
      <w:lvlJc w:val="left"/>
      <w:pPr>
        <w:ind w:left="2872" w:hanging="267"/>
      </w:pPr>
      <w:rPr>
        <w:rFonts w:hint="default"/>
      </w:rPr>
    </w:lvl>
    <w:lvl w:ilvl="3" w:tplc="6C0A49D8">
      <w:numFmt w:val="bullet"/>
      <w:lvlText w:val="•"/>
      <w:lvlJc w:val="left"/>
      <w:pPr>
        <w:ind w:left="3828" w:hanging="267"/>
      </w:pPr>
      <w:rPr>
        <w:rFonts w:hint="default"/>
      </w:rPr>
    </w:lvl>
    <w:lvl w:ilvl="4" w:tplc="69488890">
      <w:numFmt w:val="bullet"/>
      <w:lvlText w:val="•"/>
      <w:lvlJc w:val="left"/>
      <w:pPr>
        <w:ind w:left="4784" w:hanging="267"/>
      </w:pPr>
      <w:rPr>
        <w:rFonts w:hint="default"/>
      </w:rPr>
    </w:lvl>
    <w:lvl w:ilvl="5" w:tplc="7946ECFA">
      <w:numFmt w:val="bullet"/>
      <w:lvlText w:val="•"/>
      <w:lvlJc w:val="left"/>
      <w:pPr>
        <w:ind w:left="5740" w:hanging="267"/>
      </w:pPr>
      <w:rPr>
        <w:rFonts w:hint="default"/>
      </w:rPr>
    </w:lvl>
    <w:lvl w:ilvl="6" w:tplc="FC40D45E">
      <w:numFmt w:val="bullet"/>
      <w:lvlText w:val="•"/>
      <w:lvlJc w:val="left"/>
      <w:pPr>
        <w:ind w:left="6696" w:hanging="267"/>
      </w:pPr>
      <w:rPr>
        <w:rFonts w:hint="default"/>
      </w:rPr>
    </w:lvl>
    <w:lvl w:ilvl="7" w:tplc="BBB6C53C">
      <w:numFmt w:val="bullet"/>
      <w:lvlText w:val="•"/>
      <w:lvlJc w:val="left"/>
      <w:pPr>
        <w:ind w:left="7652" w:hanging="267"/>
      </w:pPr>
      <w:rPr>
        <w:rFonts w:hint="default"/>
      </w:rPr>
    </w:lvl>
    <w:lvl w:ilvl="8" w:tplc="39AE3374">
      <w:numFmt w:val="bullet"/>
      <w:lvlText w:val="•"/>
      <w:lvlJc w:val="left"/>
      <w:pPr>
        <w:ind w:left="8608" w:hanging="267"/>
      </w:pPr>
      <w:rPr>
        <w:rFonts w:hint="default"/>
      </w:rPr>
    </w:lvl>
  </w:abstractNum>
  <w:abstractNum w:abstractNumId="1" w15:restartNumberingAfterBreak="0">
    <w:nsid w:val="0DAB1A42"/>
    <w:multiLevelType w:val="hybridMultilevel"/>
    <w:tmpl w:val="D6762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93E31"/>
    <w:multiLevelType w:val="hybridMultilevel"/>
    <w:tmpl w:val="049E8210"/>
    <w:lvl w:ilvl="0" w:tplc="2DAC7584">
      <w:start w:val="1"/>
      <w:numFmt w:val="decimal"/>
      <w:lvlText w:val="%1."/>
      <w:lvlJc w:val="left"/>
      <w:pPr>
        <w:ind w:left="720" w:hanging="360"/>
      </w:pPr>
      <w:rPr>
        <w:rFonts w:ascii="Calibri" w:eastAsia="Times New Roman" w:hAnsi="Calibri"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151BD"/>
    <w:multiLevelType w:val="hybridMultilevel"/>
    <w:tmpl w:val="A7F8891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E42248"/>
    <w:multiLevelType w:val="hybridMultilevel"/>
    <w:tmpl w:val="C5C0DA00"/>
    <w:lvl w:ilvl="0" w:tplc="2DAC7584">
      <w:start w:val="1"/>
      <w:numFmt w:val="decimal"/>
      <w:lvlText w:val="%1."/>
      <w:lvlJc w:val="left"/>
      <w:pPr>
        <w:ind w:left="720" w:hanging="360"/>
      </w:pPr>
      <w:rPr>
        <w:rFonts w:ascii="Calibri" w:eastAsia="Times New Roman" w:hAnsi="Calibri"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6062F"/>
    <w:multiLevelType w:val="hybridMultilevel"/>
    <w:tmpl w:val="B53082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23C92"/>
    <w:multiLevelType w:val="hybridMultilevel"/>
    <w:tmpl w:val="CC32240A"/>
    <w:lvl w:ilvl="0" w:tplc="2098E520">
      <w:start w:val="1"/>
      <w:numFmt w:val="decimal"/>
      <w:lvlText w:val="%1."/>
      <w:lvlJc w:val="left"/>
      <w:pPr>
        <w:ind w:left="966" w:hanging="267"/>
      </w:pPr>
      <w:rPr>
        <w:rFonts w:ascii="Arial" w:eastAsia="Arial" w:hAnsi="Arial" w:cs="Arial" w:hint="default"/>
        <w:w w:val="100"/>
        <w:sz w:val="24"/>
        <w:szCs w:val="24"/>
      </w:rPr>
    </w:lvl>
    <w:lvl w:ilvl="1" w:tplc="AFE4446C">
      <w:start w:val="1"/>
      <w:numFmt w:val="lowerLetter"/>
      <w:lvlText w:val="%2)"/>
      <w:lvlJc w:val="left"/>
      <w:pPr>
        <w:ind w:left="1560" w:hanging="280"/>
      </w:pPr>
      <w:rPr>
        <w:rFonts w:ascii="Arial" w:eastAsia="Arial" w:hAnsi="Arial" w:cs="Arial" w:hint="default"/>
        <w:w w:val="100"/>
        <w:sz w:val="24"/>
        <w:szCs w:val="24"/>
      </w:rPr>
    </w:lvl>
    <w:lvl w:ilvl="2" w:tplc="49C6BAE8">
      <w:numFmt w:val="bullet"/>
      <w:lvlText w:val="•"/>
      <w:lvlJc w:val="left"/>
      <w:pPr>
        <w:ind w:left="2555" w:hanging="280"/>
      </w:pPr>
      <w:rPr>
        <w:rFonts w:hint="default"/>
      </w:rPr>
    </w:lvl>
    <w:lvl w:ilvl="3" w:tplc="0D4453CE">
      <w:numFmt w:val="bullet"/>
      <w:lvlText w:val="•"/>
      <w:lvlJc w:val="left"/>
      <w:pPr>
        <w:ind w:left="3551" w:hanging="280"/>
      </w:pPr>
      <w:rPr>
        <w:rFonts w:hint="default"/>
      </w:rPr>
    </w:lvl>
    <w:lvl w:ilvl="4" w:tplc="67EA1D6A">
      <w:numFmt w:val="bullet"/>
      <w:lvlText w:val="•"/>
      <w:lvlJc w:val="left"/>
      <w:pPr>
        <w:ind w:left="4546" w:hanging="280"/>
      </w:pPr>
      <w:rPr>
        <w:rFonts w:hint="default"/>
      </w:rPr>
    </w:lvl>
    <w:lvl w:ilvl="5" w:tplc="B0AA1148">
      <w:numFmt w:val="bullet"/>
      <w:lvlText w:val="•"/>
      <w:lvlJc w:val="left"/>
      <w:pPr>
        <w:ind w:left="5542" w:hanging="280"/>
      </w:pPr>
      <w:rPr>
        <w:rFonts w:hint="default"/>
      </w:rPr>
    </w:lvl>
    <w:lvl w:ilvl="6" w:tplc="4F468132">
      <w:numFmt w:val="bullet"/>
      <w:lvlText w:val="•"/>
      <w:lvlJc w:val="left"/>
      <w:pPr>
        <w:ind w:left="6537" w:hanging="280"/>
      </w:pPr>
      <w:rPr>
        <w:rFonts w:hint="default"/>
      </w:rPr>
    </w:lvl>
    <w:lvl w:ilvl="7" w:tplc="E9D2A3D6">
      <w:numFmt w:val="bullet"/>
      <w:lvlText w:val="•"/>
      <w:lvlJc w:val="left"/>
      <w:pPr>
        <w:ind w:left="7533" w:hanging="280"/>
      </w:pPr>
      <w:rPr>
        <w:rFonts w:hint="default"/>
      </w:rPr>
    </w:lvl>
    <w:lvl w:ilvl="8" w:tplc="F38A97B8">
      <w:numFmt w:val="bullet"/>
      <w:lvlText w:val="•"/>
      <w:lvlJc w:val="left"/>
      <w:pPr>
        <w:ind w:left="8528" w:hanging="280"/>
      </w:pPr>
      <w:rPr>
        <w:rFonts w:hint="default"/>
      </w:rPr>
    </w:lvl>
  </w:abstractNum>
  <w:abstractNum w:abstractNumId="7" w15:restartNumberingAfterBreak="0">
    <w:nsid w:val="43B423F8"/>
    <w:multiLevelType w:val="hybridMultilevel"/>
    <w:tmpl w:val="EEC80A78"/>
    <w:lvl w:ilvl="0" w:tplc="4AF4F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13E2B"/>
    <w:multiLevelType w:val="hybridMultilevel"/>
    <w:tmpl w:val="79B48C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77D00"/>
    <w:multiLevelType w:val="hybridMultilevel"/>
    <w:tmpl w:val="56F21D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252F0"/>
    <w:multiLevelType w:val="hybridMultilevel"/>
    <w:tmpl w:val="FBF44230"/>
    <w:lvl w:ilvl="0" w:tplc="0409000F">
      <w:start w:val="1"/>
      <w:numFmt w:val="decimal"/>
      <w:lvlText w:val="%1."/>
      <w:lvlJc w:val="left"/>
      <w:pPr>
        <w:ind w:left="454" w:hanging="360"/>
      </w:p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1" w15:restartNumberingAfterBreak="0">
    <w:nsid w:val="53A12183"/>
    <w:multiLevelType w:val="hybridMultilevel"/>
    <w:tmpl w:val="C660D1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F268D"/>
    <w:multiLevelType w:val="hybridMultilevel"/>
    <w:tmpl w:val="6562E4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92FE4"/>
    <w:multiLevelType w:val="hybridMultilevel"/>
    <w:tmpl w:val="0AD029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6732C"/>
    <w:multiLevelType w:val="hybridMultilevel"/>
    <w:tmpl w:val="3D38D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280A73"/>
    <w:multiLevelType w:val="hybridMultilevel"/>
    <w:tmpl w:val="1A882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BE641D"/>
    <w:multiLevelType w:val="hybridMultilevel"/>
    <w:tmpl w:val="CCE61C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F2B37"/>
    <w:multiLevelType w:val="hybridMultilevel"/>
    <w:tmpl w:val="2C10BF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94C70"/>
    <w:multiLevelType w:val="hybridMultilevel"/>
    <w:tmpl w:val="5BD677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E432B"/>
    <w:multiLevelType w:val="hybridMultilevel"/>
    <w:tmpl w:val="139238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7D3D70D1"/>
    <w:multiLevelType w:val="hybridMultilevel"/>
    <w:tmpl w:val="8254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43F96"/>
    <w:multiLevelType w:val="hybridMultilevel"/>
    <w:tmpl w:val="5E4865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4"/>
  </w:num>
  <w:num w:numId="5">
    <w:abstractNumId w:val="1"/>
  </w:num>
  <w:num w:numId="6">
    <w:abstractNumId w:val="7"/>
  </w:num>
  <w:num w:numId="7">
    <w:abstractNumId w:val="20"/>
  </w:num>
  <w:num w:numId="8">
    <w:abstractNumId w:val="3"/>
  </w:num>
  <w:num w:numId="9">
    <w:abstractNumId w:val="2"/>
  </w:num>
  <w:num w:numId="10">
    <w:abstractNumId w:val="18"/>
  </w:num>
  <w:num w:numId="11">
    <w:abstractNumId w:val="8"/>
  </w:num>
  <w:num w:numId="12">
    <w:abstractNumId w:val="13"/>
  </w:num>
  <w:num w:numId="13">
    <w:abstractNumId w:val="5"/>
  </w:num>
  <w:num w:numId="14">
    <w:abstractNumId w:val="9"/>
  </w:num>
  <w:num w:numId="15">
    <w:abstractNumId w:val="11"/>
  </w:num>
  <w:num w:numId="16">
    <w:abstractNumId w:val="4"/>
  </w:num>
  <w:num w:numId="17">
    <w:abstractNumId w:val="17"/>
  </w:num>
  <w:num w:numId="18">
    <w:abstractNumId w:val="21"/>
  </w:num>
  <w:num w:numId="19">
    <w:abstractNumId w:val="16"/>
  </w:num>
  <w:num w:numId="20">
    <w:abstractNumId w:val="12"/>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1B"/>
    <w:rsid w:val="00004108"/>
    <w:rsid w:val="000374A0"/>
    <w:rsid w:val="0004155F"/>
    <w:rsid w:val="000810A2"/>
    <w:rsid w:val="00151C26"/>
    <w:rsid w:val="001E2474"/>
    <w:rsid w:val="001E762B"/>
    <w:rsid w:val="001F1FFC"/>
    <w:rsid w:val="00276A1B"/>
    <w:rsid w:val="003356FA"/>
    <w:rsid w:val="00373BE0"/>
    <w:rsid w:val="00380F7B"/>
    <w:rsid w:val="003943A2"/>
    <w:rsid w:val="003B5A25"/>
    <w:rsid w:val="003C6254"/>
    <w:rsid w:val="004618F4"/>
    <w:rsid w:val="004B2DA2"/>
    <w:rsid w:val="004E0C9A"/>
    <w:rsid w:val="005731D5"/>
    <w:rsid w:val="005C4BB8"/>
    <w:rsid w:val="00620862"/>
    <w:rsid w:val="00621ACA"/>
    <w:rsid w:val="0062421D"/>
    <w:rsid w:val="0067205D"/>
    <w:rsid w:val="006A39E4"/>
    <w:rsid w:val="006B2414"/>
    <w:rsid w:val="006B5591"/>
    <w:rsid w:val="007102BF"/>
    <w:rsid w:val="00727D10"/>
    <w:rsid w:val="00746D0D"/>
    <w:rsid w:val="00750B61"/>
    <w:rsid w:val="00812156"/>
    <w:rsid w:val="00865008"/>
    <w:rsid w:val="00896A79"/>
    <w:rsid w:val="00926FF5"/>
    <w:rsid w:val="00933CF9"/>
    <w:rsid w:val="00983E7A"/>
    <w:rsid w:val="009909AF"/>
    <w:rsid w:val="00A21859"/>
    <w:rsid w:val="00A524FB"/>
    <w:rsid w:val="00A760BA"/>
    <w:rsid w:val="00A90378"/>
    <w:rsid w:val="00BF06B5"/>
    <w:rsid w:val="00CB5A99"/>
    <w:rsid w:val="00CC0AA6"/>
    <w:rsid w:val="00D445B9"/>
    <w:rsid w:val="00D906F2"/>
    <w:rsid w:val="00E130EB"/>
    <w:rsid w:val="00E346F2"/>
    <w:rsid w:val="00E9763A"/>
    <w:rsid w:val="00F47670"/>
    <w:rsid w:val="00F957D6"/>
    <w:rsid w:val="00FC2DDF"/>
    <w:rsid w:val="071C8300"/>
    <w:rsid w:val="3E31D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66125"/>
  <w15:chartTrackingRefBased/>
  <w15:docId w15:val="{4AF4A618-844E-4BF8-AD69-DC92E6B4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US"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2DA2"/>
    <w:pPr>
      <w:widowControl w:val="0"/>
      <w:autoSpaceDE w:val="0"/>
      <w:autoSpaceDN w:val="0"/>
      <w:spacing w:after="0"/>
      <w:ind w:left="1180" w:hanging="1060"/>
      <w:outlineLvl w:val="0"/>
    </w:pPr>
    <w:rPr>
      <w:rFonts w:eastAsia="Arial"/>
      <w:b/>
      <w:bCs/>
    </w:rPr>
  </w:style>
  <w:style w:type="paragraph" w:styleId="Heading2">
    <w:name w:val="heading 2"/>
    <w:basedOn w:val="Normal"/>
    <w:next w:val="Normal"/>
    <w:link w:val="Heading2Char"/>
    <w:uiPriority w:val="9"/>
    <w:unhideWhenUsed/>
    <w:qFormat/>
    <w:rsid w:val="00865008"/>
    <w:pPr>
      <w:keepNext/>
      <w:keepLines/>
      <w:outlineLvl w:val="1"/>
    </w:pPr>
    <w:rPr>
      <w:rFonts w:eastAsiaTheme="majorEastAsia"/>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8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59"/>
    <w:rPr>
      <w:rFonts w:ascii="Segoe UI" w:hAnsi="Segoe UI" w:cs="Segoe UI"/>
      <w:sz w:val="18"/>
      <w:szCs w:val="18"/>
    </w:rPr>
  </w:style>
  <w:style w:type="paragraph" w:styleId="NoSpacing">
    <w:name w:val="No Spacing"/>
    <w:uiPriority w:val="1"/>
    <w:qFormat/>
    <w:rsid w:val="004B2DA2"/>
    <w:pPr>
      <w:spacing w:after="0"/>
    </w:pPr>
  </w:style>
  <w:style w:type="character" w:customStyle="1" w:styleId="Heading1Char">
    <w:name w:val="Heading 1 Char"/>
    <w:basedOn w:val="DefaultParagraphFont"/>
    <w:link w:val="Heading1"/>
    <w:uiPriority w:val="9"/>
    <w:rsid w:val="004B2DA2"/>
    <w:rPr>
      <w:rFonts w:eastAsia="Arial"/>
      <w:b/>
      <w:bCs/>
    </w:rPr>
  </w:style>
  <w:style w:type="paragraph" w:styleId="BodyText">
    <w:name w:val="Body Text"/>
    <w:basedOn w:val="Normal"/>
    <w:link w:val="BodyTextChar"/>
    <w:uiPriority w:val="1"/>
    <w:qFormat/>
    <w:rsid w:val="004B2DA2"/>
    <w:pPr>
      <w:widowControl w:val="0"/>
      <w:autoSpaceDE w:val="0"/>
      <w:autoSpaceDN w:val="0"/>
      <w:spacing w:before="4" w:after="0"/>
    </w:pPr>
    <w:rPr>
      <w:rFonts w:eastAsia="Arial"/>
    </w:rPr>
  </w:style>
  <w:style w:type="character" w:customStyle="1" w:styleId="BodyTextChar">
    <w:name w:val="Body Text Char"/>
    <w:basedOn w:val="DefaultParagraphFont"/>
    <w:link w:val="BodyText"/>
    <w:uiPriority w:val="1"/>
    <w:rsid w:val="004B2DA2"/>
    <w:rPr>
      <w:rFonts w:eastAsia="Arial"/>
    </w:rPr>
  </w:style>
  <w:style w:type="paragraph" w:styleId="ListParagraph">
    <w:name w:val="List Paragraph"/>
    <w:basedOn w:val="Normal"/>
    <w:uiPriority w:val="34"/>
    <w:qFormat/>
    <w:rsid w:val="004B2DA2"/>
    <w:pPr>
      <w:widowControl w:val="0"/>
      <w:autoSpaceDE w:val="0"/>
      <w:autoSpaceDN w:val="0"/>
      <w:spacing w:before="4" w:after="0"/>
      <w:ind w:left="966" w:hanging="266"/>
    </w:pPr>
    <w:rPr>
      <w:rFonts w:eastAsia="Arial"/>
      <w:szCs w:val="22"/>
    </w:rPr>
  </w:style>
  <w:style w:type="paragraph" w:styleId="Header">
    <w:name w:val="header"/>
    <w:basedOn w:val="Normal"/>
    <w:link w:val="HeaderChar"/>
    <w:uiPriority w:val="99"/>
    <w:unhideWhenUsed/>
    <w:rsid w:val="00F957D6"/>
    <w:pPr>
      <w:tabs>
        <w:tab w:val="center" w:pos="4680"/>
        <w:tab w:val="right" w:pos="9360"/>
      </w:tabs>
      <w:spacing w:after="0"/>
    </w:pPr>
  </w:style>
  <w:style w:type="character" w:customStyle="1" w:styleId="HeaderChar">
    <w:name w:val="Header Char"/>
    <w:basedOn w:val="DefaultParagraphFont"/>
    <w:link w:val="Header"/>
    <w:uiPriority w:val="99"/>
    <w:rsid w:val="00F957D6"/>
  </w:style>
  <w:style w:type="paragraph" w:styleId="Footer">
    <w:name w:val="footer"/>
    <w:basedOn w:val="Normal"/>
    <w:link w:val="FooterChar"/>
    <w:uiPriority w:val="99"/>
    <w:unhideWhenUsed/>
    <w:rsid w:val="00F957D6"/>
    <w:pPr>
      <w:tabs>
        <w:tab w:val="center" w:pos="4680"/>
        <w:tab w:val="right" w:pos="9360"/>
      </w:tabs>
      <w:spacing w:after="0"/>
    </w:pPr>
  </w:style>
  <w:style w:type="character" w:customStyle="1" w:styleId="FooterChar">
    <w:name w:val="Footer Char"/>
    <w:basedOn w:val="DefaultParagraphFont"/>
    <w:link w:val="Footer"/>
    <w:uiPriority w:val="99"/>
    <w:rsid w:val="00F957D6"/>
  </w:style>
  <w:style w:type="character" w:customStyle="1" w:styleId="Heading2Char">
    <w:name w:val="Heading 2 Char"/>
    <w:basedOn w:val="DefaultParagraphFont"/>
    <w:link w:val="Heading2"/>
    <w:uiPriority w:val="9"/>
    <w:rsid w:val="00865008"/>
    <w:rPr>
      <w:rFonts w:eastAsiaTheme="majorEastAsia"/>
      <w:b/>
      <w:caps/>
      <w:szCs w:val="22"/>
    </w:rPr>
  </w:style>
  <w:style w:type="paragraph" w:styleId="List3">
    <w:name w:val="List 3"/>
    <w:basedOn w:val="Normal"/>
    <w:uiPriority w:val="99"/>
    <w:unhideWhenUsed/>
    <w:rsid w:val="006A39E4"/>
    <w:pPr>
      <w:overflowPunct w:val="0"/>
      <w:autoSpaceDE w:val="0"/>
      <w:autoSpaceDN w:val="0"/>
      <w:adjustRightInd w:val="0"/>
      <w:spacing w:after="0"/>
      <w:ind w:left="1080" w:hanging="360"/>
      <w:contextualSpacing/>
      <w:textAlignment w:val="baseline"/>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4C8C33D5C89747AD14DA3FB3D88CB5" ma:contentTypeVersion="4" ma:contentTypeDescription="Create a new document." ma:contentTypeScope="" ma:versionID="62b72feed186ff05e6fb6ae4c579f36d">
  <xsd:schema xmlns:xsd="http://www.w3.org/2001/XMLSchema" xmlns:xs="http://www.w3.org/2001/XMLSchema" xmlns:p="http://schemas.microsoft.com/office/2006/metadata/properties" xmlns:ns2="56a21e05-4f5f-4f97-b194-140ea0248e94" targetNamespace="http://schemas.microsoft.com/office/2006/metadata/properties" ma:root="true" ma:fieldsID="58ef6027c166d70b692487560c9a58d1" ns2:_="">
    <xsd:import namespace="56a21e05-4f5f-4f97-b194-140ea0248e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21e05-4f5f-4f97-b194-140ea024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9EFE9-95AC-4510-BA27-61DA5746EE10}">
  <ds:schemaRefs>
    <ds:schemaRef ds:uri="http://schemas.microsoft.com/sharepoint/v3/contenttype/forms"/>
  </ds:schemaRefs>
</ds:datastoreItem>
</file>

<file path=customXml/itemProps2.xml><?xml version="1.0" encoding="utf-8"?>
<ds:datastoreItem xmlns:ds="http://schemas.openxmlformats.org/officeDocument/2006/customXml" ds:itemID="{D8C6970C-E21B-402B-B1CA-7136E6BB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21e05-4f5f-4f97-b194-140ea024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6C1FD-460D-417B-A91B-73405AE92A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1502</Words>
  <Characters>7211</Characters>
  <Application>Microsoft Office Word</Application>
  <DocSecurity>0</DocSecurity>
  <Lines>480</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Gilday</dc:creator>
  <cp:keywords/>
  <dc:description/>
  <cp:lastModifiedBy>Madeleine Nelson</cp:lastModifiedBy>
  <cp:revision>12</cp:revision>
  <dcterms:created xsi:type="dcterms:W3CDTF">2024-11-05T22:28:00Z</dcterms:created>
  <dcterms:modified xsi:type="dcterms:W3CDTF">2024-12-11T00:05:00Z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0x010100C94C8C33D5C89747AD14DA3FB3D88CB5</vt:lpwstr>
  </property>
  <property fmtid="{D5CDD505-2E9C-101B-9397-08002B2CF9AE}" pid="3" name="GrammarlyDocumentId">
    <vt:lpwstr>9c0f986b13820779621c44de3971e04ad9bd37aed09fa1ca6ab642507fdafe5f</vt:lpwstr>
  </property>
</Properties>
</file>